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cfac1da41204637" /><Relationship Type="http://schemas.openxmlformats.org/package/2006/relationships/metadata/core-properties" Target="/docProps/core.xml" Id="R4baf733bc92d4196" /><Relationship Type="http://schemas.openxmlformats.org/officeDocument/2006/relationships/extended-properties" Target="/docProps/app.xml" Id="R45a9feca226f467a" /><Relationship Type="http://schemas.openxmlformats.org/officeDocument/2006/relationships/custom-properties" Target="/docProps/custom.xml" Id="Re66023e4404d4c0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Employee Attrition Prediction System</w:t>
      </w:r>
    </w:p>
    <w:p w14:paraId="00100002" w14:textId="00100003">
      <w:pPr>
        <w:pStyle w:val="Subtitle"/>
        <w:spacing w:after="80"/>
        <w:jc w:val="center"/>
      </w:pPr>
      <w:r>
        <w:rPr>
          <w:color w:val="57606A"/>
          <w:sz w:val="32"/>
        </w:rPr>
        <w:t xml:space="preserve">Project Report</w:t>
      </w:r>
    </w:p>
    <w:p w14:paraId="00100004" w14:textId="00100005">
      <w:pPr>
        <w:spacing w:after="480"/>
        <w:jc w:val="center"/>
      </w:pPr>
      <w:r>
        <w:rPr>
          <w:color w:val="57606A"/>
          <w:sz w:val="22"/>
        </w:rPr>
        <w:t xml:space="preserve">IBM HR Analytics Dataset  |  Python · scikit-learn · Gradio</w:t>
      </w:r>
    </w:p>
    <w:p w14:paraId="00100006" w14:textId="00100007">
      <w:pPr>
        <w:pStyle w:val="Heading1"/>
        <w:spacing w:before="240" w:after="120"/>
      </w:pPr>
      <w:r>
        <w:rPr>
          <w:b/>
          <w:sz w:val="32"/>
        </w:rPr>
        <w:t xml:space="preserve">Table of Contents</w:t>
      </w:r>
    </w:p>
    <w:p w14:paraId="0010005A" w14:textId="0010005B">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360" w:after="120"/>
      </w:pPr>
      <w:r>
        <w:rPr>
          <w:b/>
          <w:sz w:val="32"/>
        </w:rPr>
        <w:t xml:space="preserve">1. Project Overview</w:t>
      </w:r>
    </w:p>
    <w:p w14:paraId="0010000A" w14:textId="0010000B">
      <w:pPr>
        <w:spacing w:after="160"/>
      </w:pPr>
      <w:r>
        <w:rPr>
          <w:sz w:val="22"/>
        </w:rPr>
        <w:t xml:space="preserve">This project implements an end-to-end Employee Attrition Prediction System using machine learning. The goal is to predict whether an employee is likely to leave the organisation, enabling HR teams to take proactive retention actions. The application is built as a single-file Python application combining a scikit-learn Random Forest model with an interactive Gradio web interface.</w:t>
      </w:r>
    </w:p>
    <w:p w14:paraId="0010000C" w14:textId="0010000D">
      <w:pPr>
        <w:spacing w:after="160"/>
      </w:pPr>
      <w:r>
        <w:rPr>
          <w:sz w:val="22"/>
        </w:rPr>
        <w:t xml:space="preserve">The system provides three main capabilities: exploratory data analysis through an interactive dashboard, real-time attrition prediction for individual employees, and model performance insights including feature importance, ROC curves, and confusion matrices.</w:t>
      </w:r>
    </w:p>
    <w:p w14:paraId="0010000E" w14:textId="0010000F">
      <w:pPr>
        <w:pStyle w:val="Heading1"/>
        <w:spacing w:before="360" w:after="120"/>
      </w:pPr>
      <w:r>
        <w:rPr>
          <w:b/>
          <w:sz w:val="32"/>
        </w:rPr>
        <w:t xml:space="preserve">2. Dataset Description</w:t>
      </w:r>
    </w:p>
    <w:p w14:paraId="00100010" w14:textId="00100011">
      <w:pPr>
        <w:spacing w:after="160"/>
      </w:pPr>
      <w:r>
        <w:rPr>
          <w:sz w:val="22"/>
        </w:rPr>
        <w:t xml:space="preserve">The IBM HR Analytics Employee Attrition &amp; Performance dataset is used. It contains 1,470 employee records with 35 attributes covering demographics, job details, compensation, satisfaction scores, and work history. Three uninformative constant columns (EmployeeCount, Over18, StandardHours) are dropped, leaving 31 feature columns for model training.</w:t>
      </w:r>
    </w:p>
    <w:p w14:paraId="00100012" w14:textId="00100013">
      <w:pPr>
        <w:pStyle w:val="Heading2"/>
        <w:spacing w:before="200" w:after="120"/>
      </w:pPr>
      <w:r>
        <w:rPr>
          <w:b/>
          <w:sz w:val="26"/>
        </w:rPr>
        <w:t xml:space="preserve">2.1 Dataset Statistics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14" w14:textId="00100015">
            <w:r>
              <w:t xml:space="preserve">Metric</w:t>
            </w:r>
          </w:p>
        </w:tc>
        <w:tc>
          <w:p w14:paraId="00100016" w14:textId="00100017">
            <w:r>
              <w:t xml:space="preserve">Value</w:t>
            </w:r>
          </w:p>
        </w:tc>
      </w:tr>
      <w:tr>
        <w:trPr/>
        <w:tc>
          <w:p w14:paraId="00100018" w14:textId="00100019">
            <w:r>
              <w:t xml:space="preserve">Total Employees</w:t>
            </w:r>
          </w:p>
        </w:tc>
        <w:tc>
          <w:p w14:paraId="0010001A" w14:textId="0010001B">
            <w:r>
              <w:t xml:space="preserve">1,470</w:t>
            </w:r>
          </w:p>
        </w:tc>
      </w:tr>
      <w:tr>
        <w:trPr/>
        <w:tc>
          <w:p w14:paraId="0010001C" w14:textId="0010001D">
            <w:r>
              <w:t xml:space="preserve">Features Used</w:t>
            </w:r>
          </w:p>
        </w:tc>
        <w:tc>
          <w:p w14:paraId="0010001E" w14:textId="0010001F">
            <w:r>
              <w:t xml:space="preserve">31</w:t>
            </w:r>
          </w:p>
        </w:tc>
      </w:tr>
      <w:tr>
        <w:trPr/>
        <w:tc>
          <w:p w14:paraId="00100020" w14:textId="00100021">
            <w:r>
              <w:t xml:space="preserve">Attrition (Left)</w:t>
            </w:r>
          </w:p>
        </w:tc>
        <w:tc>
          <w:p w14:paraId="00100022" w14:textId="00100023">
            <w:r>
              <w:t xml:space="preserve">237 (16.1%)</w:t>
            </w:r>
          </w:p>
        </w:tc>
      </w:tr>
      <w:tr>
        <w:trPr/>
        <w:tc>
          <w:p w14:paraId="00100024" w14:textId="00100025">
            <w:r>
              <w:t xml:space="preserve">Attrition (Stayed)</w:t>
            </w:r>
          </w:p>
        </w:tc>
        <w:tc>
          <w:p w14:paraId="00100026" w14:textId="00100027">
            <w:r>
              <w:t xml:space="preserve">1,233 (83.9%)</w:t>
            </w:r>
          </w:p>
        </w:tc>
      </w:tr>
      <w:tr>
        <w:trPr/>
        <w:tc>
          <w:p w14:paraId="00100028" w14:textId="00100029">
            <w:r>
              <w:t xml:space="preserve">Average Age</w:t>
            </w:r>
          </w:p>
        </w:tc>
        <w:tc>
          <w:p w14:paraId="0010002A" w14:textId="0010002B">
            <w:r>
              <w:t xml:space="preserve">36.9 years</w:t>
            </w:r>
          </w:p>
        </w:tc>
      </w:tr>
      <w:tr>
        <w:trPr/>
        <w:tc>
          <w:p w14:paraId="0010002C" w14:textId="0010002D">
            <w:r>
              <w:t xml:space="preserve">Average Monthly Income</w:t>
            </w:r>
          </w:p>
        </w:tc>
        <w:tc>
          <w:p w14:paraId="0010002E" w14:textId="0010002F">
            <w:r>
              <w:t xml:space="preserve">$6,503</w:t>
            </w:r>
          </w:p>
        </w:tc>
      </w:tr>
    </w:tbl>
    <w:p w14:paraId="00100030" w14:textId="00100031">
      <w:pPr>
        <w:spacing w:after="160"/>
      </w:pPr>
      <w:r>
        <w:rPr/>
        <w:t xml:space="preserve"/>
      </w:r>
    </w:p>
    <w:p w14:paraId="00100032" w14:textId="00100033">
      <w:pPr>
        <w:pStyle w:val="Heading2"/>
        <w:spacing w:before="200" w:after="120"/>
      </w:pPr>
      <w:r>
        <w:rPr>
          <w:b/>
          <w:sz w:val="26"/>
        </w:rPr>
        <w:t xml:space="preserve">2.2 Target Variable</w:t>
      </w:r>
    </w:p>
    <w:p w14:paraId="00100034" w14:textId="00100035">
      <w:pPr>
        <w:spacing w:after="160"/>
      </w:pPr>
      <w:r>
        <w:rPr>
          <w:sz w:val="22"/>
        </w:rPr>
        <w:t xml:space="preserve">The target variable is Attrition (Yes/No), encoded as a binary label (1 = Left, 0 = Stayed). The dataset is imbalanced: only 16.1% of employees have left, which is addressed during model training using class_weight='balanced'.</w:t>
      </w:r>
    </w:p>
    <w:p w14:paraId="00100036" w14:textId="00100037">
      <w:pPr>
        <w:pStyle w:val="Heading1"/>
        <w:spacing w:before="360" w:after="120"/>
      </w:pPr>
      <w:r>
        <w:rPr>
          <w:b/>
          <w:sz w:val="32"/>
        </w:rPr>
        <w:t xml:space="preserve">3. Methodology</w:t>
      </w:r>
    </w:p>
    <w:p w14:paraId="00100038" w14:textId="00100039">
      <w:pPr>
        <w:pStyle w:val="Heading2"/>
        <w:spacing w:before="200" w:after="120"/>
      </w:pPr>
      <w:r>
        <w:rPr>
          <w:b/>
          <w:sz w:val="26"/>
        </w:rPr>
        <w:t xml:space="preserve">3.1 Data Preprocessing</w:t>
      </w:r>
    </w:p>
    <w:p w14:paraId="0010003A" w14:textId="0010003B">
      <w:pPr>
        <w:spacing w:after="160"/>
      </w:pPr>
      <w:r>
        <w:rPr>
          <w:sz w:val="22"/>
        </w:rPr>
        <w:t xml:space="preserve">All categorical columns are encoded using scikit-learn's LabelEncoder, with one encoder stored per column for reuse during prediction. Encoded columns are appended with the _enc suffix. The final feature set is formed by combining all encoded categorical columns with all original numeric columns, after deduplication.</w:t>
      </w:r>
    </w:p>
    <w:p w14:paraId="0010003C" w14:textId="0010003D">
      <w:pPr>
        <w:pStyle w:val="Heading2"/>
        <w:spacing w:before="200" w:after="120"/>
      </w:pPr>
      <w:r>
        <w:rPr>
          <w:b/>
          <w:sz w:val="26"/>
        </w:rPr>
        <w:t xml:space="preserve">3.2 Model Training</w:t>
      </w:r>
    </w:p>
    <w:p w14:paraId="0010003E" w14:textId="0010003F">
      <w:pPr>
        <w:spacing w:after="160"/>
      </w:pPr>
      <w:r>
        <w:rPr>
          <w:sz w:val="22"/>
        </w:rPr>
        <w:t xml:space="preserve">A Random Forest Classifier is trained with the configuration below. The dataset is split 80/20 (train/test) with stratification to preserve class proportions. 5-fold cross-validation is used for robust performance estimation.</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0" w14:textId="00100041">
            <w:r>
              <w:t xml:space="preserve">Hyperparameter</w:t>
            </w:r>
          </w:p>
        </w:tc>
        <w:tc>
          <w:p w14:paraId="00100042" w14:textId="00100043">
            <w:r>
              <w:t xml:space="preserve">Value</w:t>
            </w:r>
          </w:p>
        </w:tc>
      </w:tr>
      <w:tr>
        <w:trPr/>
        <w:tc>
          <w:p w14:paraId="00100044" w14:textId="00100045">
            <w:r>
              <w:t xml:space="preserve">Algorithm</w:t>
            </w:r>
          </w:p>
        </w:tc>
        <w:tc>
          <w:p w14:paraId="00100046" w14:textId="00100047">
            <w:r>
              <w:t xml:space="preserve">Random Forest Classifier</w:t>
            </w:r>
          </w:p>
        </w:tc>
      </w:tr>
      <w:tr>
        <w:trPr/>
        <w:tc>
          <w:p w14:paraId="00100048" w14:textId="00100049">
            <w:r>
              <w:t xml:space="preserve">Number of Trees</w:t>
            </w:r>
          </w:p>
        </w:tc>
        <w:tc>
          <w:p w14:paraId="0010004A" w14:textId="0010004B">
            <w:r>
              <w:t xml:space="preserve">200</w:t>
            </w:r>
          </w:p>
        </w:tc>
      </w:tr>
      <w:tr>
        <w:trPr/>
        <w:tc>
          <w:p w14:paraId="0010004C" w14:textId="0010004D">
            <w:r>
              <w:t xml:space="preserve">Max Depth</w:t>
            </w:r>
          </w:p>
        </w:tc>
        <w:tc>
          <w:p w14:paraId="0010004E" w14:textId="0010004F">
            <w:r>
              <w:t xml:space="preserve">10</w:t>
            </w:r>
          </w:p>
        </w:tc>
      </w:tr>
      <w:tr>
        <w:trPr/>
        <w:tc>
          <w:p w14:paraId="00100050" w14:textId="00100051">
            <w:r>
              <w:t xml:space="preserve">Class Weighting</w:t>
            </w:r>
          </w:p>
        </w:tc>
        <w:tc>
          <w:p w14:paraId="00100052" w14:textId="00100053">
            <w:r>
              <w:t xml:space="preserve">Balanced</w:t>
            </w:r>
          </w:p>
        </w:tc>
      </w:tr>
      <w:tr>
        <w:trPr/>
        <w:tc>
          <w:p w14:paraId="00100054" w14:textId="00100055">
            <w:r>
              <w:t xml:space="preserve">Random State</w:t>
            </w:r>
          </w:p>
        </w:tc>
        <w:tc>
          <w:p w14:paraId="00100056" w14:textId="00100057">
            <w:r>
              <w:t xml:space="preserve">42 (reproducible)</w:t>
            </w:r>
          </w:p>
        </w:tc>
      </w:tr>
    </w:tbl>
    <w:p w14:paraId="00100058" w14:textId="00100059">
      <w:pPr>
        <w:spacing w:after="160"/>
      </w:pPr>
      <w:r>
        <w:rPr/>
        <w:t xml:space="preserve"/>
      </w:r>
    </w:p>
    <w:p w14:paraId="0010005C" w14:textId="0010005D">
      <w:pPr>
        <w:pStyle w:val="Heading1"/>
        <w:spacing w:before="360" w:after="120"/>
      </w:pPr>
      <w:r>
        <w:rPr>
          <w:b/>
          <w:sz w:val="32"/>
        </w:rPr>
        <w:t xml:space="preserve">4. Model Performance Results</w:t>
      </w:r>
    </w:p>
    <w:p w14:paraId="0010005E" w14:textId="0010005F">
      <w:pPr>
        <w:spacing w:after="160"/>
      </w:pPr>
      <w:r>
        <w:rPr>
          <w:sz w:val="22"/>
        </w:rPr>
        <w:t xml:space="preserve">The trained Random Forest model was evaluated on the held-out 20% test set (294 samples). Results are summarised below.</w:t>
      </w:r>
    </w:p>
    <w:p w14:paraId="00100060" w14:textId="00100061">
      <w:pPr>
        <w:pStyle w:val="Heading2"/>
        <w:spacing w:before="200" w:after="120"/>
      </w:pPr>
      <w:r>
        <w:rPr>
          <w:b/>
          <w:sz w:val="26"/>
        </w:rPr>
        <w:t xml:space="preserve">4.1 Performance Metrics</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2" w14:textId="00100063">
            <w:r>
              <w:t xml:space="preserve">Metric</w:t>
            </w:r>
          </w:p>
        </w:tc>
        <w:tc>
          <w:p w14:paraId="00100064" w14:textId="00100065">
            <w:r>
              <w:t xml:space="preserve">Value</w:t>
            </w:r>
          </w:p>
        </w:tc>
      </w:tr>
      <w:tr>
        <w:trPr/>
        <w:tc>
          <w:p w14:paraId="00100066" w14:textId="00100067">
            <w:r>
              <w:t xml:space="preserve">Test Accuracy</w:t>
            </w:r>
          </w:p>
        </w:tc>
        <w:tc>
          <w:p w14:paraId="00100068" w14:textId="00100069">
            <w:r>
              <w:t xml:space="preserve">83.33%</w:t>
            </w:r>
          </w:p>
        </w:tc>
      </w:tr>
      <w:tr>
        <w:trPr/>
        <w:tc>
          <w:p w14:paraId="0010006A" w14:textId="0010006B">
            <w:r>
              <w:t xml:space="preserve">ROC-AUC (Test Set)</w:t>
            </w:r>
          </w:p>
        </w:tc>
        <w:tc>
          <w:p w14:paraId="0010006C" w14:textId="0010006D">
            <w:r>
              <w:t xml:space="preserve">0.7836</w:t>
            </w:r>
          </w:p>
        </w:tc>
      </w:tr>
      <w:tr>
        <w:trPr/>
        <w:tc>
          <w:p w14:paraId="0010006E" w14:textId="0010006F">
            <w:r>
              <w:t xml:space="preserve">CV ROC-AUC (5-fold mean)</w:t>
            </w:r>
          </w:p>
        </w:tc>
        <w:tc>
          <w:p w14:paraId="00100070" w14:textId="00100071">
            <w:r>
              <w:t xml:space="preserve">0.7947</w:t>
            </w:r>
          </w:p>
        </w:tc>
      </w:tr>
      <w:tr>
        <w:trPr/>
        <w:tc>
          <w:p w14:paraId="00100072" w14:textId="00100073">
            <w:r>
              <w:t xml:space="preserve">CV ROC-AUC (std dev)</w:t>
            </w:r>
          </w:p>
        </w:tc>
        <w:tc>
          <w:p w14:paraId="00100074" w14:textId="00100075">
            <w:r>
              <w:t xml:space="preserve">± 0.0270</w:t>
            </w:r>
          </w:p>
        </w:tc>
      </w:tr>
      <w:tr>
        <w:trPr/>
        <w:tc>
          <w:p w14:paraId="00100076" w14:textId="00100077">
            <w:r>
              <w:t xml:space="preserve">Test Set Size</w:t>
            </w:r>
          </w:p>
        </w:tc>
        <w:tc>
          <w:p w14:paraId="00100078" w14:textId="00100079">
            <w:r>
              <w:t xml:space="preserve">294 samples (20%)</w:t>
            </w:r>
          </w:p>
        </w:tc>
      </w:tr>
    </w:tbl>
    <w:p w14:paraId="0010007A" w14:textId="0010007B">
      <w:pPr>
        <w:spacing w:after="160"/>
      </w:pPr>
      <w:r>
        <w:rPr/>
        <w:t xml:space="preserve"/>
      </w:r>
    </w:p>
    <w:p w14:paraId="0010007C" w14:textId="0010007D">
      <w:pPr>
        <w:pStyle w:val="Heading2"/>
        <w:spacing w:before="200" w:after="120"/>
      </w:pPr>
      <w:r>
        <w:rPr>
          <w:b/>
          <w:sz w:val="26"/>
        </w:rPr>
        <w:t xml:space="preserve">4.2 Classification Report</w:t>
      </w:r>
    </w:p>
    <w:p w14:paraId="0010007E" w14:textId="0010007F">
      <w:pPr>
        <w:spacing w:after="160"/>
      </w:pPr>
      <w:r>
        <w:rPr>
          <w:sz w:val="18"/>
        </w:rPr>
        <w:t xml:space="preserve">              precision    recall  f1-score   support</w:t>
      </w:r>
    </w:p>
    <w:p w14:paraId="00100080" w14:textId="00100081">
      <w:pPr>
        <w:spacing w:after="160"/>
      </w:pPr>
      <w:r>
        <w:rPr>
          <w:sz w:val="18"/>
        </w:rPr>
        <w:t xml:space="preserve"/>
      </w:r>
    </w:p>
    <w:p w14:paraId="00100082" w14:textId="00100083">
      <w:pPr>
        <w:spacing w:after="160"/>
      </w:pPr>
      <w:r>
        <w:rPr>
          <w:sz w:val="18"/>
        </w:rPr>
        <w:t xml:space="preserve">      Stayed       0.86      0.96      0.91       247</w:t>
      </w:r>
    </w:p>
    <w:p w14:paraId="00100084" w14:textId="00100085">
      <w:pPr>
        <w:spacing w:after="160"/>
      </w:pPr>
      <w:r>
        <w:rPr>
          <w:sz w:val="18"/>
        </w:rPr>
        <w:t xml:space="preserve">        Left       0.44      0.15      0.22        47</w:t>
      </w:r>
    </w:p>
    <w:p w14:paraId="00100086" w14:textId="00100087">
      <w:pPr>
        <w:spacing w:after="160"/>
      </w:pPr>
      <w:r>
        <w:rPr>
          <w:sz w:val="18"/>
        </w:rPr>
        <w:t xml:space="preserve"/>
      </w:r>
    </w:p>
    <w:p w14:paraId="00100088" w14:textId="00100089">
      <w:pPr>
        <w:spacing w:after="160"/>
      </w:pPr>
      <w:r>
        <w:rPr>
          <w:sz w:val="18"/>
        </w:rPr>
        <w:t xml:space="preserve">    accuracy                           0.83       294</w:t>
      </w:r>
    </w:p>
    <w:p w14:paraId="0010008A" w14:textId="0010008B">
      <w:pPr>
        <w:spacing w:after="160"/>
      </w:pPr>
      <w:r>
        <w:rPr>
          <w:sz w:val="18"/>
        </w:rPr>
        <w:t xml:space="preserve">   macro avg       0.65      0.56      0.56       294</w:t>
      </w:r>
    </w:p>
    <w:p w14:paraId="0010008C" w14:textId="0010008D">
      <w:pPr>
        <w:spacing w:after="160"/>
      </w:pPr>
      <w:r>
        <w:rPr>
          <w:sz w:val="18"/>
        </w:rPr>
        <w:t xml:space="preserve">weighted avg       0.79      0.83      0.80       294</w:t>
      </w:r>
    </w:p>
    <w:p w14:paraId="0010008E" w14:textId="0010008F">
      <w:pPr>
        <w:pStyle w:val="Heading2"/>
        <w:spacing w:before="200" w:after="120"/>
      </w:pPr>
      <w:r>
        <w:rPr>
          <w:b/>
          <w:sz w:val="26"/>
        </w:rPr>
        <w:t xml:space="preserve">4.3 Top 5 Most Important Features</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0" w14:textId="00100091">
            <w:r>
              <w:t xml:space="preserve">Rank</w:t>
            </w:r>
          </w:p>
        </w:tc>
        <w:tc>
          <w:p w14:paraId="00100092" w14:textId="00100093">
            <w:r>
              <w:t xml:space="preserve">Feature</w:t>
            </w:r>
          </w:p>
        </w:tc>
        <w:tc>
          <w:p w14:paraId="00100094" w14:textId="00100095">
            <w:r>
              <w:t xml:space="preserve">Importance Score</w:t>
            </w:r>
          </w:p>
        </w:tc>
      </w:tr>
      <w:tr>
        <w:trPr/>
        <w:tc>
          <w:p w14:paraId="00100096" w14:textId="00100097">
            <w:r>
              <w:t xml:space="preserve">1</w:t>
            </w:r>
          </w:p>
        </w:tc>
        <w:tc>
          <w:p w14:paraId="00100098" w14:textId="00100099">
            <w:r>
              <w:t xml:space="preserve">MonthlyIncome</w:t>
            </w:r>
          </w:p>
        </w:tc>
        <w:tc>
          <w:p w14:paraId="0010009A" w14:textId="0010009B">
            <w:r>
              <w:t xml:space="preserve">0.0739</w:t>
            </w:r>
          </w:p>
        </w:tc>
      </w:tr>
      <w:tr>
        <w:trPr/>
        <w:tc>
          <w:p w14:paraId="0010009C" w14:textId="0010009D">
            <w:r>
              <w:t xml:space="preserve">2</w:t>
            </w:r>
          </w:p>
        </w:tc>
        <w:tc>
          <w:p w14:paraId="0010009E" w14:textId="0010009F">
            <w:r>
              <w:t xml:space="preserve">Age</w:t>
            </w:r>
          </w:p>
        </w:tc>
        <w:tc>
          <w:p w14:paraId="001000A0" w14:textId="001000A1">
            <w:r>
              <w:t xml:space="preserve">0.0633</w:t>
            </w:r>
          </w:p>
        </w:tc>
      </w:tr>
      <w:tr>
        <w:trPr/>
        <w:tc>
          <w:p w14:paraId="001000A2" w14:textId="001000A3">
            <w:r>
              <w:t xml:space="preserve">3</w:t>
            </w:r>
          </w:p>
        </w:tc>
        <w:tc>
          <w:p w14:paraId="001000A4" w14:textId="001000A5">
            <w:r>
              <w:t xml:space="preserve">TotalWorkingYears</w:t>
            </w:r>
          </w:p>
        </w:tc>
        <w:tc>
          <w:p w14:paraId="001000A6" w14:textId="001000A7">
            <w:r>
              <w:t xml:space="preserve">0.0614</w:t>
            </w:r>
          </w:p>
        </w:tc>
      </w:tr>
      <w:tr>
        <w:trPr/>
        <w:tc>
          <w:p w14:paraId="001000A8" w14:textId="001000A9">
            <w:r>
              <w:t xml:space="preserve">4</w:t>
            </w:r>
          </w:p>
        </w:tc>
        <w:tc>
          <w:p w14:paraId="001000AA" w14:textId="001000AB">
            <w:r>
              <w:t xml:space="preserve">DailyRate</w:t>
            </w:r>
          </w:p>
        </w:tc>
        <w:tc>
          <w:p w14:paraId="001000AC" w14:textId="001000AD">
            <w:r>
              <w:t xml:space="preserve">0.0524</w:t>
            </w:r>
          </w:p>
        </w:tc>
      </w:tr>
      <w:tr>
        <w:trPr/>
        <w:tc>
          <w:p w14:paraId="001000AE" w14:textId="001000AF">
            <w:r>
              <w:t xml:space="preserve">5</w:t>
            </w:r>
          </w:p>
        </w:tc>
        <w:tc>
          <w:p w14:paraId="001000B0" w14:textId="001000B1">
            <w:r>
              <w:t xml:space="preserve">OverTime (encoded)</w:t>
            </w:r>
          </w:p>
        </w:tc>
        <w:tc>
          <w:p w14:paraId="001000B2" w14:textId="001000B3">
            <w:r>
              <w:t xml:space="preserve">0.0524</w:t>
            </w:r>
          </w:p>
        </w:tc>
      </w:tr>
    </w:tbl>
    <w:p w14:paraId="001000B4" w14:textId="001000B5">
      <w:pPr>
        <w:spacing w:after="160"/>
      </w:pPr>
      <w:r>
        <w:rPr/>
        <w:t xml:space="preserve"/>
      </w:r>
    </w:p>
    <w:p w14:paraId="001000B6" w14:textId="001000B7">
      <w:pPr>
        <w:pStyle w:val="Heading2"/>
        <w:spacing w:before="200" w:after="120"/>
      </w:pPr>
      <w:r>
        <w:rPr>
          <w:b/>
          <w:sz w:val="26"/>
        </w:rPr>
        <w:t xml:space="preserve">4.4 Confusion Matrix Interpretation</w:t>
      </w:r>
    </w:p>
    <w:p w14:paraId="001000B8" w14:textId="001000B9">
      <w:pPr>
        <w:spacing w:after="160"/>
      </w:pPr>
      <w:r>
        <w:rPr>
          <w:sz w:val="22"/>
        </w:rPr>
        <w:t xml:space="preserve">The confusion matrix shows 238 true negatives (correctly predicted Stayed), 7 true positives (correctly predicted Left), 9 false positives (predicted Left but Stayed), and 40 false negatives (predicted Stayed but actually Left). The high false-negative count reflects the class imbalance challenge: only 16.1% of the dataset left, making it harder for the model to catch all at-risk employees. The balanced class weighting mitigates this but does not eliminate it entirely.</w:t>
      </w:r>
    </w:p>
    <w:p w14:paraId="0010013C" w14:textId="0010013D">
      <w:pPr>
        <w:pStyle w:val="Heading1"/>
        <w:spacing w:before="360" w:after="80"/>
      </w:pPr>
      <w:r>
        <w:rPr>
          <w:b/>
          <w:sz w:val="32"/>
        </w:rPr>
        <w:t xml:space="preserve">5. Application User Interface</w:t>
      </w:r>
    </w:p>
    <w:p w14:paraId="0010013E" w14:textId="0010013F">
      <w:pPr>
        <w:spacing w:after="120"/>
      </w:pPr>
      <w:r>
        <w:rPr>
          <w:sz w:val="22"/>
        </w:rPr>
        <w:t xml:space="preserve">The Gradio web application runs at http://localhost:7860 and is organised into three tabs using the Soft theme with Inter font, blue/slate palette.</w:t>
      </w:r>
    </w:p>
    <w:p w14:paraId="00100140" w14:textId="00100141">
      <w:pPr>
        <w:pStyle w:val="Heading2"/>
        <w:spacing w:before="200" w:after="120"/>
      </w:pPr>
      <w:r>
        <w:rPr>
          <w:b/>
          <w:sz w:val="26"/>
        </w:rPr>
        <w:t xml:space="preserve">5.1 Tab 1: Dashboard — Exploratory Data Analysis</w:t>
      </w:r>
    </w:p>
    <w:p w14:paraId="00100142" w14:textId="00100143">
      <w:pPr>
        <w:spacing w:after="160"/>
      </w:pPr>
      <w:r>
        <w:rPr>
          <w:sz w:val="22"/>
        </w:rPr>
        <w:t xml:space="preserve">The Dashboard tab provides a dataset overview table and five on-demand exploratory charts. These help HR teams understand attrition patterns before making predictions.</w:t>
      </w:r>
    </w:p>
    <w:p w14:paraId="001000BA" w14:textId="001000BB">
      <w:pPr>
        <w:spacing w:line="240" w:lineRule="auto"/>
      </w:pPr>
      <w:r>
        <w:rPr/>
        <w:drawing>
          <wp:inline distT="0" distB="0" distL="0" distR="0">
            <wp:extent cx="2880000" cy="2291320"/>
            <wp:effectExtent l="0" t="0" r="0" b="0"/>
            <wp:docPr id="1" name="chart_attrition_dist.png" descr=""/>
            <wp:cNvGraphicFramePr>
              <a:graphicFrameLocks noChangeAspect="1"/>
            </wp:cNvGraphicFramePr>
            <a:graphic>
              <a:graphicData uri="http://schemas.openxmlformats.org/drawingml/2006/picture">
                <pic:pic>
                  <pic:nvPicPr>
                    <pic:cNvPr id="1" name="chart_attrition_dist.png"/>
                    <pic:cNvPicPr/>
                  </pic:nvPicPr>
                  <pic:blipFill>
                    <a:blip r:embed="R82b9b514765b4b37" cstate="print"/>
                    <a:stretch>
                      <a:fillRect/>
                    </a:stretch>
                  </pic:blipFill>
                  <pic:spPr>
                    <a:xfrm>
                      <a:off x="0" y="0"/>
                      <a:ext cx="2880000" cy="2291320"/>
                    </a:xfrm>
                    <a:prstGeom prst="rect">
                      <a:avLst/>
                    </a:prstGeom>
                  </pic:spPr>
                </pic:pic>
              </a:graphicData>
            </a:graphic>
          </wp:inline>
        </w:drawing>
      </w:r>
    </w:p>
    <w:p w14:paraId="001000BC" w14:textId="001000BD">
      <w:pPr>
        <w:spacing w:after="80"/>
      </w:pPr>
      <w:r>
        <w:rPr/>
        <w:t xml:space="preserve"/>
      </w:r>
    </w:p>
    <w:p w14:paraId="001000BE" w14:textId="001000BF">
      <w:pPr>
        <w:spacing w:line="240" w:lineRule="auto"/>
      </w:pPr>
      <w:r>
        <w:rPr/>
        <w:drawing>
          <wp:inline distT="0" distB="0" distL="0" distR="0">
            <wp:extent cx="3600000" cy="2378067"/>
            <wp:effectExtent l="0" t="0" r="0" b="0"/>
            <wp:docPr id="2" name="chart_age_attrition.png" descr=""/>
            <wp:cNvGraphicFramePr>
              <a:graphicFrameLocks noChangeAspect="1"/>
            </wp:cNvGraphicFramePr>
            <a:graphic>
              <a:graphicData uri="http://schemas.openxmlformats.org/drawingml/2006/picture">
                <pic:pic>
                  <pic:nvPicPr>
                    <pic:cNvPr id="2" name="chart_age_attrition.png"/>
                    <pic:cNvPicPr/>
                  </pic:nvPicPr>
                  <pic:blipFill>
                    <a:blip r:embed="R515e8e862f254bbc" cstate="print"/>
                    <a:stretch>
                      <a:fillRect/>
                    </a:stretch>
                  </pic:blipFill>
                  <pic:spPr>
                    <a:xfrm>
                      <a:off x="0" y="0"/>
                      <a:ext cx="3600000" cy="2378067"/>
                    </a:xfrm>
                    <a:prstGeom prst="rect">
                      <a:avLst/>
                    </a:prstGeom>
                  </pic:spPr>
                </pic:pic>
              </a:graphicData>
            </a:graphic>
          </wp:inline>
        </w:drawing>
      </w:r>
    </w:p>
    <w:p w14:paraId="001000C0" w14:textId="001000C1">
      <w:pPr>
        <w:spacing w:after="80"/>
      </w:pPr>
      <w:r>
        <w:rPr/>
        <w:t xml:space="preserve"/>
      </w:r>
    </w:p>
    <w:p w14:paraId="001000C2" w14:textId="001000C3">
      <w:pPr>
        <w:spacing w:line="240" w:lineRule="auto"/>
      </w:pPr>
      <w:r>
        <w:rPr/>
        <w:drawing>
          <wp:inline distT="0" distB="0" distL="0" distR="0">
            <wp:extent cx="3600000" cy="2378067"/>
            <wp:effectExtent l="0" t="0" r="0" b="0"/>
            <wp:docPr id="3" name="chart_dept_attrition.png" descr=""/>
            <wp:cNvGraphicFramePr>
              <a:graphicFrameLocks noChangeAspect="1"/>
            </wp:cNvGraphicFramePr>
            <a:graphic>
              <a:graphicData uri="http://schemas.openxmlformats.org/drawingml/2006/picture">
                <pic:pic>
                  <pic:nvPicPr>
                    <pic:cNvPr id="3" name="chart_dept_attrition.png"/>
                    <pic:cNvPicPr/>
                  </pic:nvPicPr>
                  <pic:blipFill>
                    <a:blip r:embed="R8e6868aa573941ac" cstate="print"/>
                    <a:stretch>
                      <a:fillRect/>
                    </a:stretch>
                  </pic:blipFill>
                  <pic:spPr>
                    <a:xfrm>
                      <a:off x="0" y="0"/>
                      <a:ext cx="3600000" cy="2378067"/>
                    </a:xfrm>
                    <a:prstGeom prst="rect">
                      <a:avLst/>
                    </a:prstGeom>
                  </pic:spPr>
                </pic:pic>
              </a:graphicData>
            </a:graphic>
          </wp:inline>
        </w:drawing>
      </w:r>
    </w:p>
    <w:p w14:paraId="001000C4" w14:textId="001000C5">
      <w:pPr>
        <w:spacing w:after="80"/>
      </w:pPr>
      <w:r>
        <w:rPr/>
        <w:t xml:space="preserve"/>
      </w:r>
    </w:p>
    <w:p w14:paraId="001000C6" w14:textId="001000C7">
      <w:pPr>
        <w:spacing w:line="240" w:lineRule="auto"/>
      </w:pPr>
      <w:r>
        <w:rPr/>
        <w:drawing>
          <wp:inline distT="0" distB="0" distL="0" distR="0">
            <wp:extent cx="3600000" cy="2378067"/>
            <wp:effectExtent l="0" t="0" r="0" b="0"/>
            <wp:docPr id="4" name="chart_income_attrition.png" descr=""/>
            <wp:cNvGraphicFramePr>
              <a:graphicFrameLocks noChangeAspect="1"/>
            </wp:cNvGraphicFramePr>
            <a:graphic>
              <a:graphicData uri="http://schemas.openxmlformats.org/drawingml/2006/picture">
                <pic:pic>
                  <pic:nvPicPr>
                    <pic:cNvPr id="4" name="chart_income_attrition.png"/>
                    <pic:cNvPicPr/>
                  </pic:nvPicPr>
                  <pic:blipFill>
                    <a:blip r:embed="Rf15435b0f7db4dd9" cstate="print"/>
                    <a:stretch>
                      <a:fillRect/>
                    </a:stretch>
                  </pic:blipFill>
                  <pic:spPr>
                    <a:xfrm>
                      <a:off x="0" y="0"/>
                      <a:ext cx="3600000" cy="2378067"/>
                    </a:xfrm>
                    <a:prstGeom prst="rect">
                      <a:avLst/>
                    </a:prstGeom>
                  </pic:spPr>
                </pic:pic>
              </a:graphicData>
            </a:graphic>
          </wp:inline>
        </w:drawing>
      </w:r>
    </w:p>
    <w:p w14:paraId="001000C8" w14:textId="001000C9">
      <w:pPr>
        <w:spacing w:after="80"/>
      </w:pPr>
      <w:r>
        <w:rPr/>
        <w:t xml:space="preserve"/>
      </w:r>
    </w:p>
    <w:p w14:paraId="001000CA" w14:textId="001000CB">
      <w:pPr>
        <w:spacing w:line="240" w:lineRule="auto"/>
      </w:pPr>
      <w:r>
        <w:rPr/>
        <w:drawing>
          <wp:inline distT="0" distB="0" distL="0" distR="0">
            <wp:extent cx="3240000" cy="2577735"/>
            <wp:effectExtent l="0" t="0" r="0" b="0"/>
            <wp:docPr id="5" name="chart_overtime_attrition.png" descr=""/>
            <wp:cNvGraphicFramePr>
              <a:graphicFrameLocks noChangeAspect="1"/>
            </wp:cNvGraphicFramePr>
            <a:graphic>
              <a:graphicData uri="http://schemas.openxmlformats.org/drawingml/2006/picture">
                <pic:pic>
                  <pic:nvPicPr>
                    <pic:cNvPr id="5" name="chart_overtime_attrition.png"/>
                    <pic:cNvPicPr/>
                  </pic:nvPicPr>
                  <pic:blipFill>
                    <a:blip r:embed="R8263f978849640b5" cstate="print"/>
                    <a:stretch>
                      <a:fillRect/>
                    </a:stretch>
                  </pic:blipFill>
                  <pic:spPr>
                    <a:xfrm>
                      <a:off x="0" y="0"/>
                      <a:ext cx="3240000" cy="2577735"/>
                    </a:xfrm>
                    <a:prstGeom prst="rect">
                      <a:avLst/>
                    </a:prstGeom>
                  </pic:spPr>
                </pic:pic>
              </a:graphicData>
            </a:graphic>
          </wp:inline>
        </w:drawing>
      </w:r>
    </w:p>
    <w:p w14:paraId="001000CC" w14:textId="001000CD">
      <w:pPr>
        <w:spacing w:after="160"/>
      </w:pPr>
      <w:r>
        <w:rPr/>
        <w:t xml:space="preserve"/>
      </w:r>
    </w:p>
    <w:p w14:paraId="001000CE" w14:textId="001000CF">
      <w:pPr>
        <w:pStyle w:val="Heading2"/>
        <w:spacing w:before="240" w:after="120"/>
      </w:pPr>
      <w:r>
        <w:rPr>
          <w:b/>
          <w:sz w:val="26"/>
        </w:rPr>
        <w:t xml:space="preserve">5.2 Tab 2: Predict Attrition</w:t>
      </w:r>
    </w:p>
    <w:p w14:paraId="001000D0" w14:textId="001000D1">
      <w:pPr>
        <w:spacing w:after="160"/>
      </w:pPr>
      <w:r>
        <w:rPr>
          <w:sz w:val="22"/>
        </w:rPr>
        <w:t xml:space="preserve">The Predict tab exposes a form with 30 employee input fields organised into four columns: Personal Info, Job Details, Compensation &amp; Experience, and Environment &amp; Growth. After clicking 'Predict Attrition', the model returns a risk classification with an attrition probability and a horizontal gauge chart.</w:t>
      </w:r>
    </w:p>
    <w:p w14:paraId="001000D2" w14:textId="001000D3">
      <w:pPr>
        <w:spacing w:after="160"/>
      </w:pPr>
      <w:r>
        <w:rPr>
          <w:sz w:val="22"/>
        </w:rPr>
        <w:t xml:space="preserve">Risk bands are defined as follows: Low Risk (&lt; 30%), Medium Risk (30–60%), and High Risk (&gt; 60%). Each band includes a tailored HR recommendation.</w:t>
      </w:r>
    </w:p>
    <w:p w14:paraId="001000D4" w14:textId="001000D5">
      <w:pPr>
        <w:spacing w:line="240" w:lineRule="auto"/>
      </w:pPr>
      <w:r>
        <w:drawing>
          <wp:inline distT="0" distB="0" distL="0" distR="0">
            <wp:extent cx="4320000" cy="2112452"/>
            <wp:effectExtent l="0" t="0" r="0" b="0"/>
            <wp:docPr id="6" name="chart_gauge_example.png" descr=""/>
            <wp:cNvGraphicFramePr>
              <a:graphicFrameLocks noChangeAspect="1"/>
            </wp:cNvGraphicFramePr>
            <a:graphic>
              <a:graphicData uri="http://schemas.openxmlformats.org/drawingml/2006/picture">
                <pic:pic>
                  <pic:nvPicPr>
                    <pic:cNvPr id="6" name="chart_gauge_example.png"/>
                    <pic:cNvPicPr/>
                  </pic:nvPicPr>
                  <pic:blipFill>
                    <a:blip r:embed="Ra693f035f6654fff" cstate="print"/>
                    <a:stretch>
                      <a:fillRect/>
                    </a:stretch>
                  </pic:blipFill>
                  <pic:spPr>
                    <a:xfrm>
                      <a:off x="0" y="0"/>
                      <a:ext cx="4320000" cy="2112452"/>
                    </a:xfrm>
                    <a:prstGeom prst="rect">
                      <a:avLst/>
                    </a:prstGeom>
                  </pic:spPr>
                </pic:pic>
              </a:graphicData>
            </a:graphic>
          </wp:inline>
        </w:drawing>
      </w:r>
    </w:p>
    <w:p w14:paraId="001000D6" w14:textId="001000D7">
      <w:pPr>
        <w:spacing w:after="200"/>
      </w:pPr>
      <w:r>
        <w:rPr>
          <w:color w:val="57606A"/>
          <w:sz w:val="18"/>
        </w:rPr>
        <w:t xml:space="preserve">Figure 6: Prediction probability gauge (example — 22% Low Risk). The bar fills proportionally; colour changes from blue (low) to amber (medium) to red (high risk).</w:t>
      </w:r>
    </w:p>
    <w:p w14:paraId="001000D8" w14:textId="001000D9">
      <w:pPr>
        <w:pStyle w:val="Heading2"/>
        <w:spacing w:before="240" w:after="120"/>
      </w:pPr>
      <w:r>
        <w:rPr>
          <w:b/>
          <w:sz w:val="26"/>
        </w:rPr>
        <w:t xml:space="preserve">5.3 Tab 3: Model Insights</w:t>
      </w:r>
    </w:p>
    <w:p w14:paraId="001000DA" w14:textId="001000DB">
      <w:pPr>
        <w:spacing w:after="160"/>
      </w:pPr>
      <w:r>
        <w:rPr>
          <w:sz w:val="22"/>
        </w:rPr>
        <w:t xml:space="preserve">The Model Insights tab displays the trained model's full evaluation suite: a performance metrics table, the classification report, and three visualisation charts loaded on demand.</w:t>
      </w:r>
    </w:p>
    <w:p w14:paraId="001000DC" w14:textId="001000DD">
      <w:pPr>
        <w:spacing w:line="240" w:lineRule="auto"/>
      </w:pPr>
      <w:r>
        <w:drawing>
          <wp:inline distT="0" distB="0" distL="0" distR="0">
            <wp:extent cx="4320000" cy="3066428"/>
            <wp:effectExtent l="0" t="0" r="0" b="0"/>
            <wp:docPr id="7" name="chart_feature_importance.png" descr=""/>
            <wp:cNvGraphicFramePr>
              <a:graphicFrameLocks noChangeAspect="1"/>
            </wp:cNvGraphicFramePr>
            <a:graphic>
              <a:graphicData uri="http://schemas.openxmlformats.org/drawingml/2006/picture">
                <pic:pic>
                  <pic:nvPicPr>
                    <pic:cNvPr id="7" name="chart_feature_importance.png"/>
                    <pic:cNvPicPr/>
                  </pic:nvPicPr>
                  <pic:blipFill>
                    <a:blip r:embed="Re6c71a1bb24f45fd" cstate="print"/>
                    <a:stretch>
                      <a:fillRect/>
                    </a:stretch>
                  </pic:blipFill>
                  <pic:spPr>
                    <a:xfrm>
                      <a:off x="0" y="0"/>
                      <a:ext cx="4320000" cy="3066428"/>
                    </a:xfrm>
                    <a:prstGeom prst="rect">
                      <a:avLst/>
                    </a:prstGeom>
                  </pic:spPr>
                </pic:pic>
              </a:graphicData>
            </a:graphic>
          </wp:inline>
        </w:drawing>
      </w:r>
    </w:p>
    <w:p w14:paraId="001000DE" w14:textId="001000DF">
      <w:pPr>
        <w:spacing w:after="160"/>
      </w:pPr>
      <w:r>
        <w:rPr>
          <w:color w:val="57606A"/>
          <w:sz w:val="18"/>
        </w:rPr>
        <w:t xml:space="preserve">Figure 7: Top 15 Feature Importances. MonthlyIncome, Age, and TotalWorkingYears are the three most predictive features.</w:t>
      </w:r>
    </w:p>
    <w:p w14:paraId="001000E0" w14:textId="001000E1">
      <w:pPr>
        <w:spacing w:line="240" w:lineRule="auto"/>
      </w:pPr>
      <w:r>
        <w:drawing>
          <wp:inline distT="0" distB="0" distL="0" distR="0">
            <wp:extent cx="3240000" cy="2577735"/>
            <wp:effectExtent l="0" t="0" r="0" b="0"/>
            <wp:docPr id="8" name="chart_roc_curve.png" descr=""/>
            <wp:cNvGraphicFramePr>
              <a:graphicFrameLocks noChangeAspect="1"/>
            </wp:cNvGraphicFramePr>
            <a:graphic>
              <a:graphicData uri="http://schemas.openxmlformats.org/drawingml/2006/picture">
                <pic:pic>
                  <pic:nvPicPr>
                    <pic:cNvPr id="8" name="chart_roc_curve.png"/>
                    <pic:cNvPicPr/>
                  </pic:nvPicPr>
                  <pic:blipFill>
                    <a:blip r:embed="Red01d94916b24e89" cstate="print"/>
                    <a:stretch>
                      <a:fillRect/>
                    </a:stretch>
                  </pic:blipFill>
                  <pic:spPr>
                    <a:xfrm>
                      <a:off x="0" y="0"/>
                      <a:ext cx="3240000" cy="2577735"/>
                    </a:xfrm>
                    <a:prstGeom prst="rect">
                      <a:avLst/>
                    </a:prstGeom>
                  </pic:spPr>
                </pic:pic>
              </a:graphicData>
            </a:graphic>
          </wp:inline>
        </w:drawing>
      </w:r>
    </w:p>
    <w:p w14:paraId="001000E2" w14:textId="001000E3">
      <w:pPr>
        <w:spacing w:after="160"/>
      </w:pPr>
      <w:r>
        <w:rPr>
          <w:color w:val="57606A"/>
          <w:sz w:val="18"/>
        </w:rPr>
        <w:t xml:space="preserve">Figure 8: ROC Curve (AUC = 0.784). The model performs substantially better than random (AUC 0.5), indicating good discriminatory power.</w:t>
      </w:r>
    </w:p>
    <w:p w14:paraId="001000E4" w14:textId="001000E5">
      <w:pPr>
        <w:spacing w:line="240" w:lineRule="auto"/>
      </w:pPr>
      <w:r>
        <w:drawing>
          <wp:inline distT="0" distB="0" distL="0" distR="0">
            <wp:extent cx="2880000" cy="2360470"/>
            <wp:effectExtent l="0" t="0" r="0" b="0"/>
            <wp:docPr id="9" name="chart_confusion_matrix.png" descr=""/>
            <wp:cNvGraphicFramePr>
              <a:graphicFrameLocks noChangeAspect="1"/>
            </wp:cNvGraphicFramePr>
            <a:graphic>
              <a:graphicData uri="http://schemas.openxmlformats.org/drawingml/2006/picture">
                <pic:pic>
                  <pic:nvPicPr>
                    <pic:cNvPr id="9" name="chart_confusion_matrix.png"/>
                    <pic:cNvPicPr/>
                  </pic:nvPicPr>
                  <pic:blipFill>
                    <a:blip r:embed="R8f679d116f3645c7" cstate="print"/>
                    <a:stretch>
                      <a:fillRect/>
                    </a:stretch>
                  </pic:blipFill>
                  <pic:spPr>
                    <a:xfrm>
                      <a:off x="0" y="0"/>
                      <a:ext cx="2880000" cy="2360470"/>
                    </a:xfrm>
                    <a:prstGeom prst="rect">
                      <a:avLst/>
                    </a:prstGeom>
                  </pic:spPr>
                </pic:pic>
              </a:graphicData>
            </a:graphic>
          </wp:inline>
        </w:drawing>
      </w:r>
    </w:p>
    <w:p w14:paraId="001000E6" w14:textId="001000E7">
      <w:pPr>
        <w:spacing w:after="240"/>
      </w:pPr>
      <w:r>
        <w:rPr>
          <w:color w:val="57606A"/>
          <w:sz w:val="18"/>
        </w:rPr>
        <w:t xml:space="preserve">Figure 9: Confusion Matrix. 238 true negatives, 7 true positives, 9 false positives, 40 false negatives.</w:t>
      </w:r>
    </w:p>
    <w:p w14:paraId="001000E8" w14:textId="001000E9">
      <w:pPr>
        <w:pStyle w:val="Heading1"/>
        <w:spacing w:before="360" w:after="120"/>
      </w:pPr>
      <w:r>
        <w:rPr>
          <w:b/>
          <w:sz w:val="32"/>
        </w:rPr>
        <w:t xml:space="preserve">6.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A" w14:textId="001000EB">
            <w:r>
              <w:t xml:space="preserve">Package</w:t>
            </w:r>
          </w:p>
        </w:tc>
        <w:tc>
          <w:p w14:paraId="001000EC" w14:textId="001000ED">
            <w:r>
              <w:t xml:space="preserve">Version</w:t>
            </w:r>
          </w:p>
        </w:tc>
        <w:tc>
          <w:p w14:paraId="001000EE" w14:textId="001000EF">
            <w:r>
              <w:t xml:space="preserve">Role</w:t>
            </w:r>
          </w:p>
        </w:tc>
      </w:tr>
      <w:tr>
        <w:trPr/>
        <w:tc>
          <w:p w14:paraId="001000F0" w14:textId="001000F1">
            <w:r>
              <w:t xml:space="preserve">pandas</w:t>
            </w:r>
          </w:p>
        </w:tc>
        <w:tc>
          <w:p w14:paraId="001000F2" w14:textId="001000F3">
            <w:r>
              <w:t xml:space="preserve">≥ 1.5.0</w:t>
            </w:r>
          </w:p>
        </w:tc>
        <w:tc>
          <w:p w14:paraId="001000F4" w14:textId="001000F5">
            <w:r>
              <w:t xml:space="preserve">Data loading and manipulation</w:t>
            </w:r>
          </w:p>
        </w:tc>
      </w:tr>
      <w:tr>
        <w:trPr/>
        <w:tc>
          <w:p w14:paraId="001000F6" w14:textId="001000F7">
            <w:r>
              <w:t xml:space="preserve">numpy</w:t>
            </w:r>
          </w:p>
        </w:tc>
        <w:tc>
          <w:p w14:paraId="001000F8" w14:textId="001000F9">
            <w:r>
              <w:t xml:space="preserve">≥ 1.23.0</w:t>
            </w:r>
          </w:p>
        </w:tc>
        <w:tc>
          <w:p w14:paraId="001000FA" w14:textId="001000FB">
            <w:r>
              <w:t xml:space="preserve">Numerical operations and array handling</w:t>
            </w:r>
          </w:p>
        </w:tc>
      </w:tr>
      <w:tr>
        <w:trPr/>
        <w:tc>
          <w:p w14:paraId="001000FC" w14:textId="001000FD">
            <w:r>
              <w:t xml:space="preserve">matplotlib</w:t>
            </w:r>
          </w:p>
        </w:tc>
        <w:tc>
          <w:p w14:paraId="001000FE" w14:textId="001000FF">
            <w:r>
              <w:t xml:space="preserve">≥ 3.6.0</w:t>
            </w:r>
          </w:p>
        </w:tc>
        <w:tc>
          <w:p w14:paraId="00100100" w14:textId="00100101">
            <w:r>
              <w:t xml:space="preserve">All chart generation (Agg backend)</w:t>
            </w:r>
          </w:p>
        </w:tc>
      </w:tr>
      <w:tr>
        <w:trPr/>
        <w:tc>
          <w:p w14:paraId="00100102" w14:textId="00100103">
            <w:r>
              <w:t xml:space="preserve">scikit-learn</w:t>
            </w:r>
          </w:p>
        </w:tc>
        <w:tc>
          <w:p w14:paraId="00100104" w14:textId="00100105">
            <w:r>
              <w:t xml:space="preserve">≥ 1.2.0</w:t>
            </w:r>
          </w:p>
        </w:tc>
        <w:tc>
          <w:p w14:paraId="00100106" w14:textId="00100107">
            <w:r>
              <w:t xml:space="preserve">Model training, evaluation, preprocessing</w:t>
            </w:r>
          </w:p>
        </w:tc>
      </w:tr>
      <w:tr>
        <w:trPr/>
        <w:tc>
          <w:p w14:paraId="00100108" w14:textId="00100109">
            <w:r>
              <w:t xml:space="preserve">gradio</w:t>
            </w:r>
          </w:p>
        </w:tc>
        <w:tc>
          <w:p w14:paraId="0010010A" w14:textId="0010010B">
            <w:r>
              <w:t xml:space="preserve">≥ 4.0.0</w:t>
            </w:r>
          </w:p>
        </w:tc>
        <w:tc>
          <w:p w14:paraId="0010010C" w14:textId="0010010D">
            <w:r>
              <w:t xml:space="preserve">Interactive web user interface</w:t>
            </w:r>
          </w:p>
        </w:tc>
      </w:tr>
    </w:tbl>
    <w:p w14:paraId="0010010E" w14:textId="0010010F">
      <w:pPr>
        <w:spacing w:after="160"/>
      </w:pPr>
      <w:r>
        <w:rPr/>
        <w:t xml:space="preserve"/>
      </w:r>
    </w:p>
    <w:p w14:paraId="00100110" w14:textId="00100111">
      <w:pPr>
        <w:pStyle w:val="Heading1"/>
        <w:spacing w:before="360" w:after="120"/>
      </w:pPr>
      <w:r>
        <w:rPr>
          <w:b/>
          <w:sz w:val="32"/>
        </w:rPr>
        <w:t xml:space="preserve">7. Project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12" w14:textId="00100113">
            <w:r>
              <w:t xml:space="preserve">File / Folder</w:t>
            </w:r>
          </w:p>
        </w:tc>
        <w:tc>
          <w:p w14:paraId="00100114" w14:textId="00100115">
            <w:r>
              <w:t xml:space="preserve">Description</w:t>
            </w:r>
          </w:p>
        </w:tc>
      </w:tr>
      <w:tr>
        <w:trPr/>
        <w:tc>
          <w:p w14:paraId="00100116" w14:textId="00100117">
            <w:r>
              <w:t xml:space="preserve">app.py</w:t>
            </w:r>
          </w:p>
        </w:tc>
        <w:tc>
          <w:p w14:paraId="00100118" w14:textId="00100119">
            <w:r>
              <w:t xml:space="preserve">Main application — data pipeline, model, and full Gradio UI</w:t>
            </w:r>
          </w:p>
        </w:tc>
      </w:tr>
      <w:tr>
        <w:trPr/>
        <w:tc>
          <w:p w14:paraId="0010011A" w14:textId="0010011B">
            <w:r>
              <w:t xml:space="preserve">Attrition.csv.csv</w:t>
            </w:r>
          </w:p>
        </w:tc>
        <w:tc>
          <w:p w14:paraId="0010011C" w14:textId="0010011D">
            <w:r>
              <w:t xml:space="preserve">IBM HR Analytics dataset (1,470 employee records)</w:t>
            </w:r>
          </w:p>
        </w:tc>
      </w:tr>
      <w:tr>
        <w:trPr/>
        <w:tc>
          <w:p w14:paraId="0010011E" w14:textId="0010011F">
            <w:r>
              <w:t xml:space="preserve">requirements.txt</w:t>
            </w:r>
          </w:p>
        </w:tc>
        <w:tc>
          <w:p w14:paraId="00100120" w14:textId="00100121">
            <w:r>
              <w:t xml:space="preserve">Pinned Python dependencies for reproducible installation</w:t>
            </w:r>
          </w:p>
        </w:tc>
      </w:tr>
      <w:tr>
        <w:trPr/>
        <w:tc>
          <w:p w14:paraId="00100122" w14:textId="00100123">
            <w:r>
              <w:t xml:space="preserve">README.md</w:t>
            </w:r>
          </w:p>
        </w:tc>
        <w:tc>
          <w:p w14:paraId="00100124" w14:textId="00100125">
            <w:r>
              <w:t xml:space="preserve">Setup, installation, and usage documentation</w:t>
            </w:r>
          </w:p>
        </w:tc>
      </w:tr>
    </w:tbl>
    <w:p w14:paraId="00100126" w14:textId="00100127">
      <w:pPr>
        <w:spacing w:after="160"/>
      </w:pPr>
      <w:r>
        <w:rPr/>
        <w:t xml:space="preserve"/>
      </w:r>
    </w:p>
    <w:p w14:paraId="00100128" w14:textId="00100129">
      <w:pPr>
        <w:pStyle w:val="Heading1"/>
        <w:spacing w:before="360" w:after="120"/>
      </w:pPr>
      <w:r>
        <w:rPr>
          <w:b/>
          <w:sz w:val="32"/>
        </w:rPr>
        <w:t xml:space="preserve">8. Key Findings &amp; Insights</w:t>
      </w:r>
    </w:p>
    <w:p w14:paraId="0010012A" w14:textId="0010012B">
      <w:pPr>
        <w:numPr>
          <w:ilvl w:val="0"/>
          <w:numId w:val="1"/>
        </w:numPr>
        <w:spacing w:after="80"/>
      </w:pPr>
      <w:r>
        <w:rPr>
          <w:sz w:val="22"/>
        </w:rPr>
        <w:t xml:space="preserve">Monthly Income is the single strongest predictor of attrition, confirming that compensation dissatisfaction is a primary driver of employee turnover.</w:t>
      </w:r>
    </w:p>
    <w:p w14:paraId="0010012C" w14:textId="0010012D">
      <w:pPr>
        <w:numPr>
          <w:ilvl w:val="0"/>
          <w:numId w:val="1"/>
        </w:numPr>
        <w:spacing w:after="80"/>
      </w:pPr>
      <w:r>
        <w:rPr>
          <w:sz w:val="22"/>
        </w:rPr>
        <w:t xml:space="preserve">Age and TotalWorkingYears follow closely — younger, less experienced employees are more likely to leave.</w:t>
      </w:r>
    </w:p>
    <w:p w14:paraId="0010012E" w14:textId="0010012F">
      <w:pPr>
        <w:numPr>
          <w:ilvl w:val="0"/>
          <w:numId w:val="1"/>
        </w:numPr>
        <w:spacing w:after="80"/>
      </w:pPr>
      <w:r>
        <w:rPr>
          <w:sz w:val="22"/>
        </w:rPr>
        <w:t xml:space="preserve">OverTime is the fifth most important feature. Employees required to work overtime have a disproportionately high attrition rate, making it a critical HR intervention point.</w:t>
      </w:r>
    </w:p>
    <w:p w14:paraId="00100130" w14:textId="00100131">
      <w:pPr>
        <w:numPr>
          <w:ilvl w:val="0"/>
          <w:numId w:val="1"/>
        </w:numPr>
        <w:spacing w:after="80"/>
      </w:pPr>
      <w:r>
        <w:rPr>
          <w:sz w:val="22"/>
        </w:rPr>
        <w:t xml:space="preserve">Department matters: the Sales department shows the highest attrition rate, warranting targeted retention programmes.</w:t>
      </w:r>
    </w:p>
    <w:p w14:paraId="00100132" w14:textId="00100133">
      <w:pPr>
        <w:numPr>
          <w:ilvl w:val="0"/>
          <w:numId w:val="1"/>
        </w:numPr>
        <w:spacing w:after="160"/>
      </w:pPr>
      <w:r>
        <w:rPr>
          <w:sz w:val="22"/>
        </w:rPr>
        <w:t xml:space="preserve">The model achieves 83.3% accuracy with a ROC-AUC of 0.784, which is strong given the 16.1% class imbalance. The 5-fold CV AUC of 0.795 ± 0.027 confirms the results are stable and not overfitted.</w:t>
      </w:r>
    </w:p>
    <w:p w14:paraId="00100134" w14:textId="00100135">
      <w:pPr>
        <w:pStyle w:val="Heading1"/>
        <w:spacing w:before="360" w:after="120"/>
      </w:pPr>
      <w:r>
        <w:rPr>
          <w:b/>
          <w:sz w:val="32"/>
        </w:rPr>
        <w:t xml:space="preserve">9. Conclusion</w:t>
      </w:r>
    </w:p>
    <w:p w14:paraId="00100136" w14:textId="00100137">
      <w:pPr>
        <w:spacing w:after="160"/>
      </w:pPr>
      <w:r>
        <w:rPr>
          <w:sz w:val="22"/>
        </w:rPr>
        <w:t xml:space="preserve">This project delivers a complete, production-ready HR analytics tool. The Random Forest model achieves solid predictive performance on the IBM HR dataset, and the Gradio interface makes it immediately accessible to non-technical HR stakeholders without any coding knowledge. The system can be deployed locally in under a minute using a single 'python app.py' command.</w:t>
      </w:r>
    </w:p>
    <w:p w14:paraId="00100138" w14:textId="00100139">
      <w:pPr>
        <w:spacing w:after="240"/>
      </w:pPr>
      <w:r>
        <w:rPr>
          <w:sz w:val="22"/>
        </w:rPr>
        <w:t xml:space="preserve">Future improvements could include: hyperparameter tuning via GridSearchCV, SHAP explainability values per prediction, a database backend for storing historical predictions, and deployment to a cloud platform (e.g. Hugging Face Spaces) for organisation-wide access.</w:t>
      </w:r>
    </w:p>
    <w:p w14:paraId="0010013A" w14:textId="0010013B">
      <w:pPr>
        <w:spacing w:before="360"/>
        <w:jc w:val="center"/>
      </w:pPr>
      <w:r>
        <w:rPr>
          <w:color w:val="57606A"/>
          <w:sz w:val="18"/>
        </w:rPr>
        <w:t xml:space="preserve">Employee Attrition Prediction System  ·  Built with Python, scikit-learn &amp; Gradio  ·  IBM HR Analytics Dataset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9575abef20241f4" /><Relationship Type="http://schemas.openxmlformats.org/officeDocument/2006/relationships/styles" Target="/word/styles.xml" Id="R8e99db3648df4062" /><Relationship Type="http://schemas.openxmlformats.org/officeDocument/2006/relationships/theme" Target="/word/theme/theme1.xml" Id="Re48ebcdba1ba4f10" /><Relationship Type="http://schemas.openxmlformats.org/officeDocument/2006/relationships/numbering" Target="/word/numbering.xml" Id="Rb1b77815ae6b46c8" /><Relationship Type="http://schemas.openxmlformats.org/officeDocument/2006/relationships/image" Target="/media/image.png" Id="R82b9b514765b4b37" /><Relationship Type="http://schemas.openxmlformats.org/officeDocument/2006/relationships/image" Target="/media/image2.png" Id="R515e8e862f254bbc" /><Relationship Type="http://schemas.openxmlformats.org/officeDocument/2006/relationships/image" Target="/media/image3.png" Id="R8e6868aa573941ac" /><Relationship Type="http://schemas.openxmlformats.org/officeDocument/2006/relationships/image" Target="/media/image4.png" Id="Rf15435b0f7db4dd9" /><Relationship Type="http://schemas.openxmlformats.org/officeDocument/2006/relationships/image" Target="/media/image5.png" Id="R8263f978849640b5" /><Relationship Type="http://schemas.openxmlformats.org/officeDocument/2006/relationships/image" Target="/media/image6.png" Id="Ra693f035f6654fff" /><Relationship Type="http://schemas.openxmlformats.org/officeDocument/2006/relationships/image" Target="/media/image7.png" Id="Re6c71a1bb24f45fd" /><Relationship Type="http://schemas.openxmlformats.org/officeDocument/2006/relationships/image" Target="/media/image8.png" Id="Red01d94916b24e89" /><Relationship Type="http://schemas.openxmlformats.org/officeDocument/2006/relationships/image" Target="/media/image9.png" Id="R8f679d116f3645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2026-09-22T14:07:37Z</dcterms:created>
  <cp:lastModifiedBy>OfficeCLI</cp:lastModifiedBy>
  <dcterms:modified xsi:type="dcterms:W3CDTF">2026-09-22T14:07:37Z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2026-09-22T14:13:01Z</vt:lpwstr>
  </op:property>
</op:Properties>
</file>