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HIGH COURT OF UTTARAKHAND AT NAINITAL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Ravinder Kaur &amp; another ………Applicants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Versus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State of Uttarakhand &amp; another ………Respondents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Presence:</w:t>
      </w:r>
    </w:p>
    <w:p>
      <w:pPr>
        <w:jc w:val="left"/>
      </w:pPr>
      <w:r>
        <w:rPr>
          <w:rFonts w:ascii="Times New Roman" w:hAnsi="Times New Roman"/>
          <w:b/>
          <w:sz w:val="24"/>
        </w:rPr>
        <w:t xml:space="preserve">Mr. S.K. Jain, Sr. Advocate assisted by Mr. Siddhartha Jain, learned counsel </w:t>
        <w:br/>
        <w:t xml:space="preserve">for the applicants. </w:t>
        <w:br/>
        <w:t xml:space="preserve">Mr. Vipul Painuly, learned AGA for the State. </w:t>
        <w:br/>
        <w:t xml:space="preserve">Mr. Rachit Manglik and Mr. Ketan Joshi, learned counsel for respondent </w:t>
        <w:br/>
        <w:t>no.2.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Judgment reserved on 08.05.2025 </w:t>
        <w:br/>
        <w:t>Judgment delivered on 05.06.2025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Hon'ble Pankaj Purohit, J. (Oral)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By means of the present C-482 application,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 applicants have challenged the impugned charge-</w:t>
      </w:r>
    </w:p>
    <w:p>
      <w:pPr>
        <w:jc w:val="center"/>
      </w:pPr>
      <w:r>
        <w:rPr>
          <w:rFonts w:ascii="Times New Roman" w:hAnsi="Times New Roman"/>
          <w:b/>
          <w:sz w:val="24"/>
        </w:rPr>
        <w:t>sheet dated 25.09.2019 as well as impugned summoning</w:t>
      </w:r>
    </w:p>
    <w:p>
      <w:pPr>
        <w:jc w:val="center"/>
      </w:pPr>
      <w:r>
        <w:rPr>
          <w:rFonts w:ascii="Times New Roman" w:hAnsi="Times New Roman"/>
          <w:b/>
          <w:sz w:val="24"/>
        </w:rPr>
        <w:t>order dated 4.02.2020 and 23.03.2022 passed by Second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Additional civil Judge/Learned Judicial Magistrate,</w:t>
      </w:r>
    </w:p>
    <w:p>
      <w:pPr>
        <w:jc w:val="center"/>
      </w:pPr>
      <w:r>
        <w:rPr>
          <w:rFonts w:ascii="Times New Roman" w:hAnsi="Times New Roman"/>
          <w:b/>
          <w:sz w:val="24"/>
        </w:rPr>
        <w:t>Kashipur, UdhamSingh Nagar in Criminal Case No.138</w:t>
      </w:r>
    </w:p>
    <w:p>
      <w:pPr>
        <w:jc w:val="center"/>
      </w:pPr>
      <w:r>
        <w:rPr>
          <w:rFonts w:ascii="Times New Roman" w:hAnsi="Times New Roman"/>
          <w:b/>
          <w:sz w:val="24"/>
        </w:rPr>
        <w:t>of 2021 (earlier Criminal Case No. 229/220 in the court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of Learned ACJM, Kashipur), State vs. Gursewak Singh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and another, under Sections 323/498-A/506 IPC and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Section 3/4 of Dowry Prohibition Act along with entire</w:t>
      </w:r>
    </w:p>
    <w:p>
      <w:pPr>
        <w:jc w:val="center"/>
      </w:pPr>
      <w:r>
        <w:rPr>
          <w:rFonts w:ascii="Times New Roman" w:hAnsi="Times New Roman"/>
          <w:b/>
          <w:sz w:val="24"/>
        </w:rPr>
        <w:t>proceedings of the aforesaid case.</w:t>
      </w:r>
    </w:p>
    <w:p>
      <w:pPr>
        <w:jc w:val="left"/>
      </w:pPr>
      <w:r>
        <w:rPr>
          <w:rFonts w:ascii="Times New Roman" w:hAnsi="Times New Roman"/>
          <w:b/>
          <w:sz w:val="24"/>
        </w:rPr>
        <w:t xml:space="preserve">2. </w:t>
        <w:br/>
        <w:t xml:space="preserve"> </w:t>
        <w:br/>
        <w:t xml:space="preserve"> The facts in brief are that applicant no.2 got</w:t>
      </w:r>
    </w:p>
    <w:p>
      <w:pPr>
        <w:jc w:val="left"/>
      </w:pPr>
      <w:r>
        <w:rPr>
          <w:rFonts w:ascii="Times New Roman" w:hAnsi="Times New Roman"/>
          <w:b/>
          <w:sz w:val="24"/>
        </w:rPr>
        <w:t>married to respondent no.2 on 06.12.2014 as per Sikh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Rites and Ceremonies. Thereafter, an FIR was lodged on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27.</w:t>
      </w:r>
    </w:p>
    <w:p>
      <w:pPr>
        <w:jc w:val="left"/>
      </w:pPr>
      <w:r>
        <w:rPr>
          <w:rFonts w:ascii="Times New Roman" w:hAnsi="Times New Roman"/>
          <w:b/>
          <w:sz w:val="24"/>
        </w:rPr>
        <w:t>01. 2018 by respondent no.2 alleging therein that both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 applicants since the very inception of marriage used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to harass her with regard to demand of dowry. She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alleged that the applicants used to demand one flat, car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and gold bangles from her.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3. </w:t>
        <w:br/>
        <w:t xml:space="preserve"> </w:t>
        <w:br/>
        <w:t xml:space="preserve"> Learned counsel for the applicants submits</w:t>
      </w:r>
    </w:p>
    <w:p>
      <w:pPr>
        <w:jc w:val="left"/>
      </w:pPr>
      <w:r>
        <w:rPr>
          <w:rFonts w:ascii="Times New Roman" w:hAnsi="Times New Roman"/>
          <w:b/>
          <w:sz w:val="24"/>
        </w:rPr>
        <w:t>that the FIR has been lodged by respondent no.2 against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 applicants on wholly untrue and concocted facts. He</w:t>
      </w:r>
    </w:p>
    <w:p>
      <w:pPr>
        <w:jc w:val="left"/>
      </w:pPr>
      <w:r>
        <w:rPr>
          <w:rFonts w:ascii="Times New Roman" w:hAnsi="Times New Roman"/>
          <w:b/>
          <w:sz w:val="24"/>
        </w:rPr>
        <w:t>further stated that respondent no.2 is a cunning lady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and it is a part of her modus operandi to marry innocent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men and thereafter, demand huge alimony in divorce.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He stated that the FIR has been lodged at the instance of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 to harass and extort money from the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applicants. He submitted that the applicant no.2 and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 got married through Shaadi.com where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 stated herself as never married whereas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 truth is that she is a divorcee and has extorted Rs.20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lacs from her ex husband in the name of alimony.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4. </w:t>
        <w:br/>
        <w:t xml:space="preserve"> </w:t>
        <w:br/>
        <w:t xml:space="preserve"> The </w:t>
        <w:br/>
        <w:t xml:space="preserve">learned </w:t>
        <w:br/>
        <w:t xml:space="preserve">counsel </w:t>
        <w:br/>
        <w:t xml:space="preserve">for </w:t>
        <w:br/>
        <w:t xml:space="preserve">the </w:t>
        <w:br/>
        <w:t>applicants</w:t>
      </w:r>
    </w:p>
    <w:p>
      <w:pPr>
        <w:jc w:val="center"/>
      </w:pPr>
      <w:r>
        <w:rPr>
          <w:rFonts w:ascii="Times New Roman" w:hAnsi="Times New Roman"/>
          <w:b/>
          <w:sz w:val="24"/>
        </w:rPr>
        <w:t>submitted that after the marriage, applicant no.2 used to</w:t>
      </w:r>
    </w:p>
    <w:p>
      <w:pPr>
        <w:jc w:val="left"/>
      </w:pPr>
      <w:r>
        <w:rPr>
          <w:rFonts w:ascii="Times New Roman" w:hAnsi="Times New Roman"/>
          <w:b/>
          <w:sz w:val="24"/>
        </w:rPr>
        <w:t>live with respondent no.2 in an independent flat. But,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 wanted to live in a posh colony and</w:t>
      </w:r>
    </w:p>
    <w:p>
      <w:pPr>
        <w:jc w:val="center"/>
      </w:pPr>
      <w:r>
        <w:rPr>
          <w:rFonts w:ascii="Times New Roman" w:hAnsi="Times New Roman"/>
          <w:b/>
          <w:sz w:val="24"/>
        </w:rPr>
        <w:t>used to quarrel with applicant no.2 for the said purpose.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She on the pretext of getting due care from her mother in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 course of pregnancy went to Kashipur and returned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back only after one year. After some time, she again left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 house and started living in Kashipur with their son.</w:t>
      </w:r>
    </w:p>
    <w:p>
      <w:pPr>
        <w:jc w:val="left"/>
      </w:pPr>
      <w:r>
        <w:rPr>
          <w:rFonts w:ascii="Times New Roman" w:hAnsi="Times New Roman"/>
          <w:b/>
          <w:sz w:val="24"/>
        </w:rPr>
        <w:t>On inquiring, respondent no.2 told the applicant no.2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that she will come back and live with him only if he takes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any house on rent in posh colony. Thereafter, he</w:t>
      </w:r>
    </w:p>
    <w:p>
      <w:pPr>
        <w:jc w:val="left"/>
      </w:pPr>
      <w:r>
        <w:rPr>
          <w:rFonts w:ascii="Times New Roman" w:hAnsi="Times New Roman"/>
          <w:b/>
          <w:sz w:val="24"/>
        </w:rPr>
        <w:t>succumbed to respondent no.2’s demand and rented a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house in a posh colony but he had to soon vacate it as</w:t>
      </w:r>
    </w:p>
    <w:p>
      <w:pPr>
        <w:jc w:val="left"/>
      </w:pPr>
      <w:r>
        <w:rPr>
          <w:rFonts w:ascii="Times New Roman" w:hAnsi="Times New Roman"/>
          <w:b/>
          <w:sz w:val="24"/>
        </w:rPr>
        <w:t>the owner wanted to sell it. Respondent no.2 initially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agreed to live in the earlier flat on the condition that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applicant no.1 will not interfere in her life. But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 again on 01.07.2018 along with the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minor child left for Kashipur along with all the valuables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and cash in the absence of applicant no.2 and again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stated that she will only return if he rents a house in a</w:t>
      </w:r>
    </w:p>
    <w:p>
      <w:pPr>
        <w:jc w:val="center"/>
      </w:pPr>
      <w:r>
        <w:rPr>
          <w:rFonts w:ascii="Times New Roman" w:hAnsi="Times New Roman"/>
          <w:b/>
          <w:sz w:val="24"/>
        </w:rPr>
        <w:t>posh colony. Thereafter, applicant no.2 preferred a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restitution of conjugal rights application which was</w:t>
      </w:r>
    </w:p>
    <w:p>
      <w:pPr>
        <w:jc w:val="left"/>
      </w:pPr>
      <w:r>
        <w:rPr>
          <w:rFonts w:ascii="Times New Roman" w:hAnsi="Times New Roman"/>
          <w:b/>
          <w:sz w:val="24"/>
        </w:rPr>
        <w:t>decreed ex parte in his favour. Respondent no.2 was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furious because of this and filed an application under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Section 12 of the Domestic Violence Act before ACJM,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Kashipur. In the above stated application, respondent</w:t>
      </w:r>
    </w:p>
    <w:p>
      <w:pPr>
        <w:jc w:val="center"/>
      </w:pPr>
      <w:r>
        <w:rPr>
          <w:rFonts w:ascii="Times New Roman" w:hAnsi="Times New Roman"/>
          <w:b/>
          <w:sz w:val="24"/>
        </w:rPr>
        <w:t>no.2 in her cross-examination herself admitted that she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took Rs.20 lacs from her ex husband in pretext 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divorce. She also admitted that she used to live in a</w:t>
      </w:r>
    </w:p>
    <w:p>
      <w:pPr>
        <w:jc w:val="center"/>
      </w:pPr>
      <w:r>
        <w:rPr>
          <w:rFonts w:ascii="Times New Roman" w:hAnsi="Times New Roman"/>
          <w:b/>
          <w:sz w:val="24"/>
        </w:rPr>
        <w:t>separate floor with her husband and applicant no.1 used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to live in another floor. She also admitted that she wants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applicant no.2 to buy a new house for them in a posh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colony and then only she will return to her. She also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admitted that she potrayed herself as never married in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Shaadi.com. The learned counsel for the applicants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submits that her conduct itself shows that she is in habit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of committing fraud and extorting money from innocent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men. He submitted that there is no medical evidence to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prove that she was subjected to cruelty by the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applicants. He also stated that the Investigation Officer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without taking into consideration the aforesaid facts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mechanically </w:t>
        <w:br/>
        <w:t xml:space="preserve">submitted </w:t>
        <w:br/>
        <w:t xml:space="preserve">the </w:t>
        <w:br/>
        <w:t xml:space="preserve">charge-sheet </w:t>
        <w:br/>
        <w:t>without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appreciating any evidence and the learned Judicial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Magistrate without applying his judicial mind has issued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summons against the applicants on the basis of the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charge-sheet.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5. </w:t>
        <w:br/>
        <w:t xml:space="preserve"> </w:t>
        <w:br/>
        <w:t xml:space="preserve">  Though </w:t>
        <w:br/>
        <w:t xml:space="preserve">not </w:t>
        <w:br/>
        <w:t xml:space="preserve">pleaded </w:t>
        <w:br/>
        <w:t xml:space="preserve">in </w:t>
        <w:br/>
        <w:t xml:space="preserve">the </w:t>
        <w:br/>
        <w:t>C482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application, the learned counsel for the applicants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vehemently argued that proceedings under Section 12 of</w:t>
      </w:r>
    </w:p>
    <w:p>
      <w:pPr>
        <w:jc w:val="left"/>
      </w:pPr>
      <w:r>
        <w:rPr>
          <w:rFonts w:ascii="Times New Roman" w:hAnsi="Times New Roman"/>
          <w:b/>
          <w:sz w:val="24"/>
        </w:rPr>
        <w:t>the Domestic Violence Act instituted by respondent no.2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has been disbelieved and dismissed by the concerned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court below and therefore, initiation of the impugned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criminal proceeding on similar set of facts is nothing but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abuse of process of law. He also raised doubts on the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territorial jurisdiction of the learned Judicial Magistrate,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Kashipur as the alleged incident of cruelty and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harassment happened in Ludhiyana, Punjab.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6. </w:t>
        <w:br/>
        <w:t xml:space="preserve"> </w:t>
        <w:br/>
        <w:t xml:space="preserve"> Per contra, the learned counsel for the State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submits </w:t>
        <w:br/>
        <w:t xml:space="preserve">that </w:t>
        <w:br/>
        <w:t xml:space="preserve">the </w:t>
        <w:br/>
        <w:t xml:space="preserve">Investigation </w:t>
        <w:br/>
        <w:t xml:space="preserve">Officer </w:t>
        <w:br/>
        <w:t xml:space="preserve">after </w:t>
        <w:br/>
        <w:t>due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investigation and on the basis of statements given by the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 and other witnesses under Section 161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Cr.P.C. has rightfully submitted the charge-sheet and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 learned court below has done no illegality in issuing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summons against the applicant.</w:t>
      </w:r>
    </w:p>
    <w:p>
      <w:pPr>
        <w:jc w:val="left"/>
      </w:pPr>
      <w:r>
        <w:rPr>
          <w:rFonts w:ascii="Times New Roman" w:hAnsi="Times New Roman"/>
          <w:b/>
          <w:sz w:val="24"/>
        </w:rPr>
        <w:t xml:space="preserve">7. </w:t>
        <w:br/>
        <w:t xml:space="preserve"> </w:t>
        <w:br/>
        <w:t xml:space="preserve"> Respondent no.2 in her counter affidavit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submitted that the impugned criminal proceedings is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based on true facts and not concocted facts and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circumstances. She further states that it is not the case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that she wants to grab money from the applicants but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applicants instead want her to bring money in name 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dowry. She further submitted that the applicants were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well aware of the fact that she was a divorcee and had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evil eye on the Rs.20 lacs which she got from her ex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husband as alimony. She also stated that she was not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living independently with her husband and there was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constant interference by her in-laws. She submitted that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applicant no.1 used to constantly harass and humiliate</w:t>
      </w:r>
    </w:p>
    <w:p>
      <w:pPr>
        <w:jc w:val="center"/>
      </w:pPr>
      <w:r>
        <w:rPr>
          <w:rFonts w:ascii="Times New Roman" w:hAnsi="Times New Roman"/>
          <w:b/>
          <w:sz w:val="24"/>
        </w:rPr>
        <w:t>her as applicant no.1 thought that she was ugly and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used to constantly demand dowry. She further stated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that it was the constant torture and harassment meted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out towards her from the hands of the applicants which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forced her to live in Kashipur.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8. </w:t>
        <w:br/>
        <w:t xml:space="preserve"> </w:t>
        <w:br/>
        <w:t xml:space="preserve"> The applicants in their rejoinder affidavit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stated that right from the very inception of marriage,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 had malafide intention which is evident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from the fact that she potrayed herself as a never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married person in Shaadi.com. They further submitted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that the proceedings based on the same set of facts as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alleged in the FIR, instituted under Section 12 Domestic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Violence Act has been disbelieved and dismissed vide</w:t>
      </w:r>
    </w:p>
    <w:p>
      <w:pPr>
        <w:jc w:val="center"/>
      </w:pPr>
      <w:r>
        <w:rPr>
          <w:rFonts w:ascii="Times New Roman" w:hAnsi="Times New Roman"/>
          <w:b/>
          <w:sz w:val="24"/>
        </w:rPr>
        <w:t>order dated 22.07.2024 by ACJM, Kashipur and also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proceedings instituted on the same set of facts under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Section 125 Cr.P.C. in the court of Family Judge,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Kashipur, District Udham Singh Nagar, have been</w:t>
      </w:r>
    </w:p>
    <w:p>
      <w:pPr>
        <w:jc w:val="left"/>
      </w:pPr>
      <w:r>
        <w:rPr>
          <w:rFonts w:ascii="Times New Roman" w:hAnsi="Times New Roman"/>
          <w:b/>
          <w:sz w:val="24"/>
        </w:rPr>
        <w:t>disbelieved and dismissed as far as respondent no.2 is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concerned.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9. </w:t>
        <w:br/>
        <w:t xml:space="preserve"> </w:t>
        <w:br/>
        <w:t xml:space="preserve"> I have heard learned counsel for the parties at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length and perused the FIR, charge-sheet and entire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material available on record. As far as the contention 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learned </w:t>
        <w:br/>
        <w:t xml:space="preserve">counsel </w:t>
        <w:br/>
        <w:t xml:space="preserve">for </w:t>
        <w:br/>
        <w:t xml:space="preserve">applicants </w:t>
        <w:br/>
        <w:t xml:space="preserve">regarding </w:t>
        <w:br/>
        <w:t>territorial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jurisdiction of Ld. JM Kashipur is concerned it is manifest</w:t>
      </w:r>
    </w:p>
    <w:p>
      <w:pPr>
        <w:jc w:val="left"/>
      </w:pPr>
      <w:r>
        <w:rPr>
          <w:rFonts w:ascii="Times New Roman" w:hAnsi="Times New Roman"/>
          <w:b/>
          <w:sz w:val="24"/>
        </w:rPr>
        <w:t>from the facts that the respondent no. 2 used to live there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as it was her parental home and it is a settled principle 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law that the offence under Section 498A is a continuing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offence and if the act of cruelty continues even while, the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woman is living at her parents house, the offence is triable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by both the Courts in whose territorial jurisdiction the act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of continuing offence of cruelty has been committed i.e. at</w:t>
      </w:r>
    </w:p>
    <w:p>
      <w:pPr>
        <w:jc w:val="center"/>
      </w:pPr>
      <w:r>
        <w:rPr>
          <w:rFonts w:ascii="Times New Roman" w:hAnsi="Times New Roman"/>
          <w:b/>
          <w:sz w:val="24"/>
        </w:rPr>
        <w:t>matrimonial home or the parents house. In the instant case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in hand it is prima facie evident that mental cruelty was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still persisting in respondent no 2’s mind while she was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staying at her parental home as the demand for valuables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was still being persistently being made by the applicants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This prima facie at this stage shows that the applicants</w:t>
      </w:r>
    </w:p>
    <w:p>
      <w:pPr>
        <w:jc w:val="left"/>
      </w:pPr>
      <w:r>
        <w:rPr>
          <w:rFonts w:ascii="Times New Roman" w:hAnsi="Times New Roman"/>
          <w:b/>
          <w:sz w:val="24"/>
        </w:rPr>
        <w:t>continued to cause harassment to respondent no. 2 with a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view to coerce her to satisfy their unlawful demand.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Therefore, prima facie it appears that she has been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subjected to cruelty at Kashipur within the definition 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"cruelty" given in the explanation of Section 498A I.P.C. On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taking into consideration the F.I.R. and the papers under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investigation i.e. the statements of witnesses, it appears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that act of maltreatment and humiliation by the petitioners</w:t>
      </w:r>
    </w:p>
    <w:p>
      <w:pPr>
        <w:jc w:val="left"/>
      </w:pPr>
      <w:r>
        <w:rPr>
          <w:rFonts w:ascii="Times New Roman" w:hAnsi="Times New Roman"/>
          <w:b/>
          <w:sz w:val="24"/>
        </w:rPr>
        <w:t>continued even while respondent no. 2 was residing with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her parents. Therefore, I am of the view that Clause (c)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of Section 178, Criminal Procedure Code is clearly attracted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and the learned Judicial Magistrate, Kashipur has also</w:t>
      </w:r>
    </w:p>
    <w:p>
      <w:pPr>
        <w:jc w:val="center"/>
      </w:pPr>
      <w:r>
        <w:rPr>
          <w:rFonts w:ascii="Times New Roman" w:hAnsi="Times New Roman"/>
          <w:b/>
          <w:sz w:val="24"/>
        </w:rPr>
        <w:t>territorial jurisdiction to try the case against the petitioners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under Section 498A, I.P.C. which is a continuing offence.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Moreover, the contention of the applicants counsel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regarding the impugned proceedings being mere abuse of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process of law just because proceedings filed by respondent</w:t>
      </w:r>
    </w:p>
    <w:p>
      <w:pPr>
        <w:jc w:val="center"/>
      </w:pPr>
      <w:r>
        <w:rPr>
          <w:rFonts w:ascii="Times New Roman" w:hAnsi="Times New Roman"/>
          <w:b/>
          <w:sz w:val="24"/>
        </w:rPr>
        <w:t>no.2 u/s 12 Domestic Violence Act, 2005 falls flat on its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face by bare perusal of subsection 2 of Section 12 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Domestic Violence Act, 2005 which clearly provides that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relief provided under section 12 is without prejudice to the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right of such person to institute a suit for compensation or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damages for the injuries caused by the acts of domestic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violence the scope of both the Acts and provisions of IPC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are different . The reliefs provided therein are also different.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10.  Since, the offences lodged against the applicants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are very serious in nature and prima-facie a case is made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out against the applicants, it is essential for the ends 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justice that the applicants should be subjected to a proper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trial. In a catena of judgments, Hon’ble Supreme Court has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also held that High Court should be slow in interfering with</w:t>
      </w:r>
    </w:p>
    <w:p>
      <w:pPr>
        <w:jc w:val="center"/>
      </w:pPr>
      <w:r>
        <w:rPr>
          <w:rFonts w:ascii="Times New Roman" w:hAnsi="Times New Roman"/>
          <w:b/>
          <w:sz w:val="24"/>
        </w:rPr>
        <w:t>the criminal proceedings, if prima-facie the case is made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out against the applicant.</w:t>
      </w:r>
    </w:p>
    <w:p>
      <w:pPr>
        <w:jc w:val="left"/>
      </w:pPr>
      <w:r>
        <w:rPr>
          <w:rFonts w:ascii="Times New Roman" w:hAnsi="Times New Roman"/>
          <w:b/>
          <w:sz w:val="24"/>
        </w:rPr>
        <w:t xml:space="preserve">11. </w:t>
        <w:br/>
        <w:t xml:space="preserve"> Recently, </w:t>
        <w:br/>
        <w:t xml:space="preserve">in </w:t>
        <w:br/>
        <w:t xml:space="preserve">the </w:t>
        <w:br/>
        <w:t xml:space="preserve">case </w:t>
        <w:br/>
        <w:t xml:space="preserve">of </w:t>
        <w:br/>
        <w:t>Neeharika,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Infrastructure </w:t>
        <w:br/>
        <w:t xml:space="preserve">Private </w:t>
        <w:br/>
        <w:t xml:space="preserve">Limited </w:t>
        <w:br/>
        <w:t xml:space="preserve">Vs. </w:t>
        <w:br/>
        <w:t xml:space="preserve">State </w:t>
        <w:br/>
        <w:t>of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Maharashtra and others reported in (2021) 19 SCC 401,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it has been held by the Hon’ble Apex Court that criminal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case shall not be scuttled at the initial stage. Relevant sub-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paras of Para 33 of the said judgment are quoted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hereunder:-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“33.4) The power of quashing should be exercised sparingly with </w:t>
        <w:br/>
        <w:t xml:space="preserve">circumspection, as it has been observed, in the “rarest of rare </w:t>
        <w:br/>
        <w:t xml:space="preserve">cases” (not to be confused with the formation in the context of </w:t>
        <w:br/>
        <w:t xml:space="preserve">death penalty). </w:t>
        <w:br/>
        <w:t xml:space="preserve">33.5) While examining an FIR/complaint, quashing of which is </w:t>
        <w:br/>
        <w:t xml:space="preserve">sought, the court cannot embark upon an enquiry as to the </w:t>
        <w:br/>
        <w:t xml:space="preserve">reliability or genuineness or otherwise of the allegations made in </w:t>
        <w:br/>
        <w:t xml:space="preserve">the FIR/complaint; </w:t>
        <w:br/>
        <w:t xml:space="preserve">33.6) Criminal proceedings ought not to be scuttled at the initial </w:t>
        <w:br/>
        <w:t xml:space="preserve">stage; </w:t>
        <w:br/>
        <w:t xml:space="preserve">33.15) When a prayer for quashing the FIR is made by the alleged </w:t>
        <w:br/>
        <w:t xml:space="preserve">accused and the court when it exercises the power under Section </w:t>
        <w:br/>
        <w:t xml:space="preserve">482 Cr.P.C., only has to consider whether the allegations in the </w:t>
        <w:br/>
        <w:t xml:space="preserve">FIR disclose commission of a cognizable offence or not. The court </w:t>
        <w:br/>
        <w:t xml:space="preserve">is not required to consider on merits whether or not the merits of </w:t>
        <w:br/>
        <w:t xml:space="preserve">the allegations make out a cognizable offence and the court has to </w:t>
        <w:br/>
        <w:t xml:space="preserve">permit </w:t>
        <w:br/>
        <w:t xml:space="preserve">the </w:t>
        <w:br/>
        <w:t xml:space="preserve">investigating </w:t>
        <w:br/>
        <w:t xml:space="preserve">agency/police </w:t>
        <w:br/>
        <w:t xml:space="preserve">to </w:t>
        <w:br/>
        <w:t xml:space="preserve">investigate </w:t>
        <w:br/>
        <w:t xml:space="preserve">the </w:t>
        <w:br/>
        <w:t xml:space="preserve">allegations in the FIR; </w:t>
        <w:br/>
        <w:br/>
        <w:t xml:space="preserve">12. </w:t>
        <w:br/>
        <w:t>After keeping the above principle in mind, this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Court is of the opinion that as prima-facie case is made out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against the applicants and the charge-sheet has been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submitted and the applicants were summoned after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cognizance, this Court cannot enter into merits of the case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at this stage. Veracity of the version of prosecution can only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be proved during trial, after both the parties would adduce</w:t>
      </w:r>
    </w:p>
    <w:p>
      <w:pPr>
        <w:jc w:val="center"/>
      </w:pPr>
      <w:r>
        <w:rPr>
          <w:rFonts w:ascii="Times New Roman" w:hAnsi="Times New Roman"/>
          <w:b/>
          <w:sz w:val="24"/>
        </w:rPr>
        <w:t>their respective evidences. Further the case doesn’t fall in</w:t>
      </w:r>
    </w:p>
    <w:p>
      <w:pPr>
        <w:jc w:val="center"/>
      </w:pPr>
      <w:r>
        <w:rPr>
          <w:rFonts w:ascii="Times New Roman" w:hAnsi="Times New Roman"/>
          <w:b/>
          <w:sz w:val="24"/>
        </w:rPr>
        <w:t>the category of rarest of rare cases so as to compel this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court to exercise its inherent jurisdiction vested under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section 482 Cr.P.C.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13. </w:t>
        <w:br/>
        <w:t xml:space="preserve"> Accordingly, the C482 application is dismissed.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(Pankaj Purohit, J.) </w:t>
        <w:br/>
        <w:br/>
        <w:t xml:space="preserve"> 05.06.2025 </w:t>
        <w:br/>
        <w:t>PN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