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Данные материалы задумывались как часть переработки и расширения курса по проектированию компиляторов, где обучающиеся пишут свой компилятор простого языка программирования. Как показывает опыт автора, студенты вполне способны сделать простое порождение инструкций (англ. instruction selection) не изучая ничего, если они знакомы с основами ассемблера целевой архитектуры. В данном документе будут кратко изложена история исследования данной части компиляторов, и поведаны основные идеи, которые помогут заинтересованным студентам сделать «навороченный» выбор инструкций.</w:t>
      </w:r>
    </w:p>
    <w:p>
      <w:pPr>
        <w:pStyle w:val="Body Text"/>
        <w:ind w:leftChars="0" w:left="0" w:right="0"/>
      </w:pPr>
      <w:r>
        <w:t>Никакой явной завязки на язык реализации, компилируемый язык или целевую архитектуру не задумывалось.</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be857b05265dd381628994ac1f500246">
        <w:r>
          <w:rPr>
            <w:rStyle w:val="Hyperlink"/>
          </w:rPr>
          <w:t>Blindell, 2016</w:t>
        </w:r>
      </w:hyperlink>
      <w:r>
        <w:t xml:space="preserve">, </w:t>
      </w:r>
      <w:hyperlink w:anchor="_48d36f13e273e0746062b731405ed69b">
        <w:r>
          <w:rPr>
            <w:rStyle w:val="Hyperlink"/>
          </w:rPr>
          <w:t>Blindell, 2018</w:t>
        </w:r>
      </w:hyperlink>
      <w:r>
        <w:t>]</w:t>
      </w:r>
      <w:bookmarkEnd w:id="3"/>
      <w:r>
        <w:t>. В тех местах, где это уместно, были приведены примеры использования RISC-V инструкций.</w:t>
      </w:r>
    </w:p>
    <w:p>
      <w:pPr>
        <w:pStyle w:val="Body Text"/>
        <w:ind w:leftChars="0" w:left="0" w:right="0"/>
      </w:pPr>
      <w:r>
        <w:t>Разработка данных учебных материалов поддержана в рамках конкурса грантов Альянса RISC-V. Материалы допускаются к использованию под лицензией CC BY 4.0.</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a2927a3dcbfac43b26d63a96cac6e7cf"/>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8a052205f0bcd69e373df606a3ab574e"/>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35c84f98c129bfbcfa36223217249eff"/>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58e8b8036268b6998637c4519f4733c7"/>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fb71b539e920a7fd016e6c69450fef82"/>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8c0134bb07b11d9741fef85e3b2102cc"/>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903cc8fd5f03dcde942c4e081b25ebe4"/>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8eb2845f7e183ef703e04c6d6279cdfe"/>
                  <w:hyperlink w:anchor="_146a3f88c292b6fb6f702e2c658c265c">
                    <w:r>
                      <w:rPr>
                        <w:rStyle w:val="Hyperlink"/>
                      </w:rPr>
                      <w:t>Модуль 1. Раскрытие макросов</w:t>
                    </w:r>
                  </w:hyperlink>
                  <w:bookmarkEnd w:id="12"/>
                </w:p>
                <w:p>
                  <w:pPr>
                    <w:pStyle w:val="ListBullet"/>
                    <w:numPr>
                      <w:ilvl w:val="2"/>
                      <w:numId w:val="2"/>
                    </w:numPr>
                    <w:ind w:leftChars="0" w:left="1800" w:right="0"/>
                  </w:pPr>
                  <w:bookmarkStart w:id="13" w:name="_e04b34d96c30eaf041c8e5ca6994d59b"/>
                  <w:hyperlink w:anchor="_86364072e05412529c34832e010dad44">
                    <w:r>
                      <w:rPr>
                        <w:rStyle w:val="Hyperlink"/>
                      </w:rPr>
                      <w:t>Наивное раскрытие макросов</w:t>
                    </w:r>
                  </w:hyperlink>
                  <w:bookmarkEnd w:id="13"/>
                </w:p>
                <w:p>
                  <w:pPr>
                    <w:pStyle w:val="ListBullet"/>
                    <w:numPr>
                      <w:ilvl w:val="2"/>
                      <w:numId w:val="2"/>
                    </w:numPr>
                    <w:ind w:leftChars="0" w:left="1800" w:right="0"/>
                  </w:pPr>
                  <w:bookmarkStart w:id="14" w:name="_fcbb51005823b8d35f7a15b90d2ad204"/>
                  <w:hyperlink w:anchor="_42d3ae3bf2f5a9321d0ea3152b7446bd">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4eb15f8181a1779493455f8b3a6e3435"/>
                  <w:hyperlink w:anchor="_5371cb46317e3b9596c2009aacc89512">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8240d5979bcf4a0b8df791ad06cbb91a"/>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9650496089e88c14948d0f77644f0fb3"/>
                  <w:hyperlink w:anchor="_140a2282410c04ab25f3426b4b96f18e">
                    <w:r>
                      <w:rPr>
                        <w:rStyle w:val="Hyperlink"/>
                      </w:rPr>
                      <w:t>Модуль 2. Покрытие деревьев</w:t>
                    </w:r>
                  </w:hyperlink>
                  <w:bookmarkEnd w:id="17"/>
                </w:p>
                <w:p>
                  <w:pPr>
                    <w:pStyle w:val="ListBullet"/>
                    <w:numPr>
                      <w:ilvl w:val="2"/>
                      <w:numId w:val="2"/>
                    </w:numPr>
                    <w:ind w:leftChars="0" w:left="1800" w:right="0"/>
                  </w:pPr>
                  <w:bookmarkStart w:id="18" w:name="_c6e754003ed95213607e48fac0d46734"/>
                  <w:hyperlink w:anchor="_e3dd34b2186948c2750af9ee74bf2b3c">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1a37c3d5cfbbc535249ca433ae7ae877"/>
                  <w:hyperlink w:anchor="_ea5934543fa43d40d9cb71da5f73e15e">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a341ea5e6fdd4ece37e2d8bec0e80c96"/>
                  <w:hyperlink w:anchor="_399081cbc092a28641e37bc3970ea17a">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065ea95c84f1cca6defa490b5823c174"/>
                  <w:hyperlink w:anchor="_53d99deb1c8ab374d60c41d7b583faf5">
                    <w:r>
                      <w:rPr>
                        <w:rStyle w:val="Hyperlink"/>
                      </w:rPr>
                      <w:t>Динамическое программирование</w:t>
                    </w:r>
                  </w:hyperlink>
                  <w:bookmarkEnd w:id="21"/>
                </w:p>
                <w:p>
                  <w:pPr>
                    <w:pStyle w:val="ListBullet"/>
                    <w:numPr>
                      <w:ilvl w:val="2"/>
                      <w:numId w:val="2"/>
                    </w:numPr>
                    <w:ind w:leftChars="0" w:left="1800" w:right="0"/>
                  </w:pPr>
                  <w:bookmarkStart w:id="22" w:name="_82e5b698e6a063c271d852d946978e5e"/>
                  <w:hyperlink w:anchor="_d5a80e769c7a2c902eaa22cb20dd3a07">
                    <w:r>
                      <w:rPr>
                        <w:rStyle w:val="Hyperlink"/>
                      </w:rPr>
                      <w:t>Ограничения покрытия деревьев</w:t>
                    </w:r>
                  </w:hyperlink>
                  <w:bookmarkEnd w:id="22"/>
                </w:p>
                <w:p>
                  <w:pPr>
                    <w:pStyle w:val="ListBullet"/>
                    <w:numPr>
                      <w:ilvl w:val="1"/>
                      <w:numId w:val="2"/>
                    </w:numPr>
                    <w:ind w:leftChars="0" w:left="1080" w:right="0"/>
                  </w:pPr>
                  <w:bookmarkStart w:id="23" w:name="_5cf14d8626f4dc391d6c63e375fdee08"/>
                  <w:hyperlink w:anchor="_069e3449b04befd1514cb9698667deae">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c7dc7b59d117c4593eb5de2439a15022"/>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226f45bafa792489ba19f9c0b53bea0"/>
                  <w:hyperlink w:anchor="_82e50a2df99d81cd8173c5944a326ad1">
                    <w:r>
                      <w:rPr>
                        <w:rStyle w:val="Hyperlink"/>
                      </w:rPr>
                      <w:t>Покрытие графов</w:t>
                    </w:r>
                  </w:hyperlink>
                  <w:bookmarkEnd w:id="25"/>
                </w:p>
                <w:p>
                  <w:pPr>
                    <w:pStyle w:val="ListBullet"/>
                    <w:numPr>
                      <w:ilvl w:val="1"/>
                      <w:numId w:val="2"/>
                    </w:numPr>
                    <w:ind w:leftChars="0" w:left="1080" w:right="0"/>
                  </w:pPr>
                  <w:bookmarkStart w:id="26" w:name="_452e8817d720ab8c67b744a50e5da7a2"/>
                  <w:hyperlink w:anchor="_d9491dac01166de9523555d74e3e022a">
                    <w:r>
                      <w:rPr>
                        <w:rStyle w:val="Hyperlink"/>
                      </w:rPr>
                      <w:t>Заключение</w:t>
                    </w:r>
                  </w:hyperlink>
                  <w:bookmarkEnd w:id="26"/>
                </w:p>
                <w:p>
                  <w:pPr>
                    <w:pStyle w:val="ListBullet"/>
                    <w:numPr>
                      <w:ilvl w:val="1"/>
                      <w:numId w:val="2"/>
                    </w:numPr>
                    <w:ind w:leftChars="0" w:left="1080" w:right="0"/>
                  </w:pPr>
                  <w:bookmarkStart w:id="27" w:name="_7e1d849084931ef9ea19f4b980efbd72"/>
                  <w:hyperlink w:anchor="_da128a2e3233fc29135a8c0a6c5be3e0">
                    <w:r>
                      <w:rPr>
                        <w:rStyle w:val="Hyperlink"/>
                      </w:rPr>
                      <w:t>Вопросы для самопроверки</w:t>
                    </w:r>
                  </w:hyperlink>
                  <w:bookmarkEnd w:id="27"/>
                </w:p>
                <w:p>
                  <w:pPr>
                    <w:pStyle w:val="ListBullet"/>
                    <w:numPr>
                      <w:ilvl w:val="1"/>
                      <w:numId w:val="2"/>
                    </w:numPr>
                    <w:ind w:leftChars="0" w:left="1080" w:right="0"/>
                  </w:pPr>
                  <w:bookmarkStart w:id="28" w:name="_581b16e69e1e5d71b6615feb5720d533"/>
                  <w:hyperlink w:anchor="_152ba26c3f82b8ab85518f91910152cc">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146a3f88c292b6fb6f702e2c658c265c"/>
    <w:p>
      <w:pPr>
        <w:pStyle w:val="Heading2"/>
        <w:keepNext/>
      </w:pPr>
      <w:r>
        <w:t>Модуль 1. Раскрытие макросов</w:t>
      </w:r>
    </w:p>
    <w:p>
      <w:pPr>
        <w:pStyle w:val="Body Text"/>
        <w:ind w:leftChars="0" w:left="0" w:right="0"/>
      </w:pPr>
      <w:r>
        <w:t>Раскрытие макросов (англ. macro expansion)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d3675fb56cea693dfc5f4b18bc9b8b8f"/>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86364072e05412529c34832e010dad44"/>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f9679f6f250f5c6303efdff5690aff99"/>
      <w:r>
        <w:t>[</w:t>
      </w:r>
      <w:hyperlink w:anchor="_5e0e3f7324b4e3501971ad3226ef505b">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5aed5753f250cb335fc46140e51ac25"/>
      <w:r>
        <w:t>[</w:t>
      </w:r>
      <w:hyperlink w:anchor="_5e0e3f7324b4e3501971ad3226ef505b">
        <w:r>
          <w:rPr>
            <w:rStyle w:val="Hyperlink"/>
          </w:rPr>
          <w:t>Orgass and Waite, 1969</w:t>
        </w:r>
      </w:hyperlink>
      <w:r>
        <w:t>]</w:t>
      </w:r>
      <w:bookmarkEnd w:id="41"/>
      <w:r>
        <w:t>.</w:t>
      </w:r>
    </w:p>
    <w:bookmarkStart w:id="42" w:name="_68b254a72a8491368a88aa2378e31a6c"/>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2f3ed57a3727afae964c709c297a93d5"/>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dbb4a90733b96093b45358ea6f2176c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29890fa9fb011f6b4e2580725a4a52d8"/>
      <w:r>
        <w:t>[</w:t>
      </w:r>
      <w:hyperlink w:anchor="_b1ba65d00a199e8ea0e6a895fde8871c">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c703a4f7b62de651491dbc14fefad41a"/>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38d3ab46e4822224a089e5f0b9abae1b"/>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42d3ae3bf2f5a9321d0ea3152b7446bd"/>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2810951f7a8acb25f38cd5ba70a1947e"/>
      <w:r>
        <w:t>[</w:t>
      </w:r>
      <w:hyperlink w:anchor="_53c486ae432af5ce6508b73e0c2ad455">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87858247f76f9af2de4d66f5f649c948"/>
    <w:p>
      <w:pPr>
        <w:pStyle w:val="LiteralCaption"/>
        <w:ind w:leftChars="0" w:left="0" w:right="0"/>
        <w:keepNext/>
      </w:pPr>
      <w:r>
        <w:t xml:space="preserve">Макрос для сложения чисел на языке ICL </w:t>
      </w:r>
      <w:bookmarkStart w:id="51" w:name="_1ea32cf955973fc9ecd0fff779da416a"/>
      <w:r>
        <w:t>[</w:t>
      </w:r>
      <w:hyperlink w:anchor="_53c486ae432af5ce6508b73e0c2ad455">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5371cb46317e3b9596c2009aacc89512"/>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69827de769ff955e63ed9099811254e5"/>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ad981d66518bfa40727dfc08afe6d3c0"/>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f7fb00f5dbb9fbc2e00c78e723bf5273"/>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fc8eee45797dedea9fd4537520f2f35"/>
      <w:r>
        <w:t>[</w:t>
      </w:r>
      <w:hyperlink w:anchor="_ffe5d469e319e16090e0e08847243471">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1b09b016da017637ee66fe3c455172df"/>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caed17bf12aa29ca55b4349a8791b69d"/>
    <w:p>
      <w:pPr>
        <w:pStyle w:val="LiteralCaption"/>
        <w:ind w:leftChars="0" w:left="0" w:right="0"/>
        <w:keepNext/>
      </w:pPr>
      <w:r>
        <w:t xml:space="preserve">Часть описания компьютера IBM-360 на языке OMML </w:t>
      </w:r>
      <w:bookmarkStart w:id="59" w:name="_874f5ff63a97f1a0fcc11a87ea395b80"/>
      <w:r>
        <w:t>[</w:t>
      </w:r>
      <w:hyperlink w:anchor="_ffe5d469e319e16090e0e08847243471">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f574dfd1aa1ce2365d287182d4a4b6c"/>
      <w:r>
        <w:t>[</w:t>
      </w:r>
      <w:hyperlink w:anchor="_9cca4bbff6ef5ada0fc3d59db22e18a5">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ab3c2f60ecbb3dfbe5c5b8cad65bd7ff"/>
      <w:r>
        <w:t>[</w:t>
      </w:r>
      <w:hyperlink w:anchor="_c9e5362677843cac3458a71a5be467cf">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34bc370e99ca8bae07d2124f1030f179"/>
      <w:r>
        <w:t>[</w:t>
      </w:r>
      <w:hyperlink w:anchor="_4e2b26a88bcdef13f703976041f5ced5">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f9cd329e10882e0684a037ecb4a6883f"/>
      <w:r>
        <w:t>[</w:t>
      </w:r>
      <w:hyperlink w:anchor="_1f2a373b9a5f5f95343764898500d537">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140a2282410c04ab25f3426b4b96f18e"/>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a8c85a4085c70b7c0939280b744164ea"/>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d41484b0b47dc113420baf6d00d91888"/>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e3dd34b2186948c2750af9ee74bf2b3c"/>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9cfdf8e5e2f112320c711b6a6ede88ad"/>
      <w:r>
        <w:t>[</w:t>
      </w:r>
      <w:hyperlink w:anchor="_fa74e00839bb85cdd537a7e4d7db13a4">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6903b41315c9f3bb9ee42e779446eebe"/>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23c80ce862584ad0245dfe5405bc83a3"/>
      <w:r>
        <w:t>[</w:t>
      </w:r>
      <w:hyperlink w:anchor="_a1b93cf82a14cb82ab3e59c33142ddf8">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04fff72d558a241793dfc6413a156d14"/>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ea5934543fa43d40d9cb71da5f73e15e"/>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4b7bc41eb2ebd6c087574b00c4ddbdc6"/>
      <w:r>
        <w:t>[</w:t>
      </w:r>
      <w:hyperlink w:anchor="_8f4493640f5210c5778f98a5dbe1021c">
        <w:r>
          <w:rPr>
            <w:rStyle w:val="Hyperlink"/>
          </w:rPr>
          <w:t>Newcomer, 1975</w:t>
        </w:r>
      </w:hyperlink>
      <w:r>
        <w:t>]</w:t>
      </w:r>
      <w:bookmarkEnd w:id="76"/>
      <w:r>
        <w:t xml:space="preserve">, и последующие </w:t>
      </w:r>
      <w:bookmarkStart w:id="77" w:name="_c63db1741664c6ea40a5f0f4bcfaed97"/>
      <w:r>
        <w:t>[</w:t>
      </w:r>
      <w:hyperlink w:anchor="_6191d3127ad90424f6bfc16f329e1fda">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399081cbc092a28641e37bc3970ea17a"/>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209d6ed0a600e5df1b26c02c6fc0ed20"/>
      <w:r>
        <w:t>[</w:t>
      </w:r>
      <w:hyperlink w:anchor="_37fdf172628f4c87ba7c5648f6025c34">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53d99deb1c8ab374d60c41d7b583faf5"/>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c3604db6ce736a270a3429a1ccbb67bb"/>
      <w:r>
        <w:t>[</w:t>
      </w:r>
      <w:hyperlink w:anchor="_4e7b72996a9e35d7b46432d0172bb6c0">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d230e5759d01d4e49046defb82200182"/>
      <w:r>
        <w:t>[</w:t>
      </w:r>
      <w:hyperlink w:anchor="_cbee765de4274301e0c35b4655ca2365">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 так как последующие фазы работы компилятора —  переупорядочивание инструкций (instruction scheduling) и распределение регистров (англ. register allocation) — способны оказать существенный эффект на производительность порожденного кода.</w:t>
      </w:r>
    </w:p>
    <w:bookmarkEnd w:id="80"/>
    <w:bookmarkStart w:id="83" w:name="_d5a80e769c7a2c902eaa22cb20dd3a07"/>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52c98da3619b406d05bf228ff4b8e9c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c4c3e472e14eba223f3ea38d7d43eb7d"/>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деревьев всегда один корень, инструкции с большим количеством выходов (англ. multi-output instructions)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069e3449b04befd1514cb9698667deae"/>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d2c12df3adbf6ca98124315712525ea8"/>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be643b7c1c3b41cca12f4ba028697b3"/>
      <w:r>
        <w:t>[</w:t>
      </w:r>
      <w:hyperlink w:anchor="_b9b92e9ac3092da0c49c94acc4a4c019">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5a09d6e1f54138b2ffc734a33b582bb1"/>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7472ea37a9364b16f6803af5080a9bac"/>
      <w:r>
        <w:t>[</w:t>
      </w:r>
      <w:hyperlink w:anchor="_a1f16c072c175c5e54b1c69027a2ee88">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51c3cdc5570efd44e32b18bab8d8e0aa"/>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867ab9b3918a58f1971883dd3bf977ce"/>
      <w:r>
        <w:t>[</w:t>
      </w:r>
      <w:hyperlink w:anchor="_45672766386f8afe6c82d98348635253">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6616eb5294f801cd43d0e0375ea4c1ec"/>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82e50a2df99d81cd8173c5944a326ad1"/>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9d4d01174da76492f8bce618f8efb522"/>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a06b4d120ba3a0b1b66269f68d4cacfb"/>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69985b18435732570ff54816aa8a4064"/>
      <w:r>
        <w:t>[</w:t>
      </w:r>
      <w:hyperlink w:anchor="_41e8652e7b60d36692693488997be1ec">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425b2672e574109e4a8625a32bc0f1d6"/>
      <w:r>
        <w:t>[</w:t>
      </w:r>
      <w:hyperlink w:anchor="_d0f781d397e6df89309ca59d7df75075">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1d20688633770f3809815e529f2c57ac"/>
      <w:r>
        <w:t>[</w:t>
      </w:r>
      <w:hyperlink w:anchor="_011bbd11e768988170c9f997a2d00e8e">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e179c1e128e6177f763e7dd4059f6d11"/>
      <w:r>
        <w:t>[</w:t>
      </w:r>
      <w:hyperlink w:anchor="_9e97cfb0a5d0051c944fe2cb581f0ba0">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bdf93630d0994724aad68b3dcecc3813"/>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a0c02a6daf56942098e9ea7327e1afd1"/>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05b1797d2db49badf23dcfad8992c1a2"/>
      <w:r>
        <w:t>[</w:t>
      </w:r>
      <w:hyperlink w:anchor="_0881b5b44b5d7d1f5936fe47096c3538">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edd0a526ba9d8f75a3a2c06f177541d3"/>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2c5bb9c8173804d1249f584f7f193e55"/>
      <w:r>
        <w:t>[</w:t>
      </w:r>
      <w:hyperlink w:anchor="_48d36f13e273e0746062b731405ed69b">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ee4910d69c1bab3977e1d49b85e252a0"/>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56a3e03049ce48e7971ff89dced65d3f"/>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0fc8d3ad685069e5606ac4ed321ba10b"/>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d9491dac01166de9523555d74e3e022a"/>
    <w:p>
      <w:pPr>
        <w:pStyle w:val="Heading2"/>
        <w:keepNext/>
      </w:pPr>
      <w:r>
        <w:t>Заключение</w:t>
      </w:r>
    </w:p>
    <w:p>
      <w:pPr>
        <w:pStyle w:val="Body Text"/>
        <w:ind w:leftChars="0" w:left="0" w:right="0"/>
      </w:pPr>
      <w:r>
        <w:t xml:space="preserve">Несмотря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2bba4496a65363b84b3ee0cc6f056aad"/>
      <w:r>
        <w:t>[</w:t>
      </w:r>
      <w:hyperlink w:anchor="_ba94e261886a555bd932b7442e6b47f3">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5f2c06eb469ea7e58856a664dad1ab58"/>
      <w:r>
        <w:t>[</w:t>
      </w:r>
      <w:hyperlink w:anchor="_ce87b1044004e17653315b79487629e4">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da128a2e3233fc29135a8c0a6c5be3e0"/>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деревьев? (несколько вариантов ответов)</w:t>
      </w:r>
    </w:p>
    <w:p>
      <w:pPr>
        <w:pStyle w:val="ListNumber"/>
        <w:numPr>
          <w:ilvl w:val="0"/>
          <w:numId w:val="13"/>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3"/>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3"/>
        </w:numPr>
        <w:ind w:leftChars="0" w:left="1440" w:right="0"/>
      </w:pPr>
      <w:r>
        <w:t>Не эффективны, так как не могут представлять общие подвыражения.</w:t>
      </w:r>
    </w:p>
    <w:p>
      <w:pPr>
        <w:pStyle w:val="ListNumber"/>
        <w:numPr>
          <w:ilvl w:val="0"/>
          <w:numId w:val="13"/>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графов без циклов? (несколько вариантов ответов)</w:t>
      </w:r>
    </w:p>
    <w:p>
      <w:pPr>
        <w:pStyle w:val="ListNumber"/>
        <w:numPr>
          <w:ilvl w:val="0"/>
          <w:numId w:val="14"/>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4"/>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4"/>
        </w:numPr>
        <w:ind w:leftChars="0" w:left="1440" w:right="0"/>
      </w:pPr>
      <w:r>
        <w:t>Не эффективны, так как не могут представлять общие подвыражения.</w:t>
      </w:r>
    </w:p>
    <w:p>
      <w:pPr>
        <w:pStyle w:val="ListNumber"/>
        <w:numPr>
          <w:ilvl w:val="0"/>
          <w:numId w:val="14"/>
        </w:numPr>
        <w:ind w:leftChars="0" w:left="1440" w:right="0"/>
      </w:pPr>
      <w:r>
        <w:t>Задача оптимального выора инструкций вычислительно сложнее, чем для деревьев.</w:t>
      </w:r>
    </w:p>
    <w:p>
      <w:pPr>
        <w:pStyle w:val="ListNumber"/>
        <w:numPr>
          <w:ilvl w:val="0"/>
          <w:numId w:val="14"/>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можно порекомендовать разработчикам компиляторов, если некоторые категории инструкций не ложатся в текущий алгоритм выбора инструкций? (несколько вариантов ответов)</w:t>
      </w:r>
    </w:p>
    <w:p>
      <w:pPr>
        <w:pStyle w:val="ListNumber"/>
        <w:numPr>
          <w:ilvl w:val="0"/>
          <w:numId w:val="15"/>
        </w:numPr>
        <w:ind w:leftChars="0" w:left="1440" w:right="0"/>
      </w:pPr>
      <w:r>
        <w:t>Использовать другой алгоритм выбора инструкций</w:t>
      </w:r>
    </w:p>
    <w:p>
      <w:pPr>
        <w:pStyle w:val="ListNumber"/>
        <w:numPr>
          <w:ilvl w:val="0"/>
          <w:numId w:val="15"/>
        </w:numPr>
        <w:ind w:leftChars="0" w:left="1440" w:right="0"/>
      </w:pPr>
      <w:r>
        <w:t>Не порождать инструкции данной категории</w:t>
      </w:r>
    </w:p>
    <w:p>
      <w:pPr>
        <w:pStyle w:val="ListNumber"/>
        <w:numPr>
          <w:ilvl w:val="0"/>
          <w:numId w:val="15"/>
        </w:numPr>
        <w:ind w:leftChars="0" w:left="1440" w:right="0"/>
      </w:pPr>
      <w:r>
        <w:t>Сделать отдельный проход для порождения инструкций данной категории</w:t>
      </w:r>
    </w:p>
    <w:bookmarkEnd w:id="121"/>
    <w:bookmarkStart w:id="122" w:name="_152ba26c3f82b8ab85518f91910152cc"/>
    <w:p>
      <w:pPr>
        <w:pStyle w:val="Heading2"/>
        <w:keepNext/>
      </w:pPr>
      <w:r>
        <w:t>Библиография</w:t>
      </w:r>
    </w:p>
    <w:bookmarkStart w:id="123" w:name="_d08d610dd0281f85eec2b9439be016e1"/>
    <w:bookmarkStart w:id="124" w:name="_37fdf172628f4c87ba7c5648f6025c34"/>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cbee765de4274301e0c35b4655ca2365"/>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45672766386f8afe6c82d98348635253"/>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a1f16c072c175c5e54b1c69027a2ee88"/>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be857b05265dd381628994ac1f500246"/>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48d36f13e273e0746062b731405ed69b"/>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0881b5b44b5d7d1f5936fe47096c3538"/>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d0f781d397e6df89309ca59d7df7507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011bbd11e768988170c9f997a2d00e8e"/>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4e2b26a88bcdef13f703976041f5ced5"/>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b1ba65d00a199e8ea0e6a895fde8871c"/>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9e97cfb0a5d0051c944fe2cb581f0ba0"/>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fa74e00839bb85cdd537a7e4d7db13a4"/>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a1b93cf82a14cb82ab3e59c33142ddf8"/>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b9b92e9ac3092da0c49c94acc4a4c019"/>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ba94e261886a555bd932b7442e6b47f3"/>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ce87b1044004e17653315b79487629e4"/>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9cca4bbff6ef5ada0fc3d59db22e18a5"/>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ffe5d469e319e16090e0e08847243471"/>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8f4493640f5210c5778f98a5dbe1021c"/>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6191d3127ad90424f6bfc16f329e1fda"/>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5e0e3f7324b4e3501971ad3226ef505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4e7b72996a9e35d7b46432d0172bb6c0"/>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c9e5362677843cac3458a71a5be467cf"/>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1f2a373b9a5f5f95343764898500d537"/>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1e8652e7b60d36692693488997be1ec"/>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53c486ae432af5ce6508b73e0c2ad455"/>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