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Rapport d’activité semaine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Coqueron Dorian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591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lundi et le mardi ont été dédié à la définition des exigences et contraintes du projet, avec plusieurs révision au cours de ces deux jours.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mercredi a été consacré à la création des premières IHM ainsi que le début du jeudi.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jeudi a servi à se mettre au niveau sur les technologies utilisées.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vendredi a servi à définir les premiers tests.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Des réunions avaient lieux chaque jour afin de vérifier les différentes activités effectué au cours de l’analyse.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