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kyw8unxrcem" w:id="0"/>
      <w:bookmarkEnd w:id="0"/>
      <w:r w:rsidDel="00000000" w:rsidR="00000000" w:rsidRPr="00000000">
        <w:rPr>
          <w:rtl w:val="0"/>
        </w:rPr>
        <w:t xml:space="preserve">Stratégie de Contenu et de Référencement Organique (SEO) pour l'International Neurofeedback Center (INC)</w:t>
      </w:r>
    </w:p>
    <w:p w:rsidR="00000000" w:rsidDel="00000000" w:rsidP="00000000" w:rsidRDefault="00000000" w:rsidRPr="00000000" w14:paraId="00000002">
      <w:pPr>
        <w:rPr/>
      </w:pPr>
      <w:r w:rsidDel="00000000" w:rsidR="00000000" w:rsidRPr="00000000">
        <w:rPr>
          <w:rtl w:val="0"/>
        </w:rPr>
        <w:t xml:space="preserve">Ce document définit la trajectoire stratégique d'acquisition organique et de conformité pour l'International Neurofeedback Center (INC). En tant que leader de l'industrie, l'INC doit naviguer avec précision entre l'innovation technique et le cadre réglementaire strict de la FDA, tout en exploitant les leviers de croissance B2B les plus performants à l'horizon 2025-2026.</w:t>
      </w:r>
    </w:p>
    <w:p w:rsidR="00000000" w:rsidDel="00000000" w:rsidP="00000000" w:rsidRDefault="00000000" w:rsidRPr="00000000" w14:paraId="00000003">
      <w:pPr>
        <w:pStyle w:val="Heading5"/>
        <w:rPr/>
      </w:pPr>
      <w:bookmarkStart w:colFirst="0" w:colLast="0" w:name="_kexitxgyr9ah" w:id="1"/>
      <w:bookmarkEnd w:id="1"/>
      <w:r w:rsidDel="00000000" w:rsidR="00000000" w:rsidRPr="00000000">
        <w:rPr>
          <w:rtl w:val="0"/>
        </w:rPr>
        <w:t xml:space="preserve">1. Analyse de Conformité et Positionnement Stratégique (Cadre FDA)</w:t>
      </w:r>
    </w:p>
    <w:p w:rsidR="00000000" w:rsidDel="00000000" w:rsidP="00000000" w:rsidRDefault="00000000" w:rsidRPr="00000000" w14:paraId="00000004">
      <w:pPr>
        <w:rPr/>
      </w:pPr>
      <w:r w:rsidDel="00000000" w:rsidR="00000000" w:rsidRPr="00000000">
        <w:rPr>
          <w:rtl w:val="0"/>
        </w:rPr>
        <w:t xml:space="preserve">Pour bénéficier de la « discrétion d'application » (enforcement discretion) de la FDA, l'INC doit impérativement aligner ses produits et ses communications sur les critères de "Bien-être Général". Cette rigueur constitue notre premier rempart de sécurité juridique.</w:t>
      </w:r>
    </w:p>
    <w:p w:rsidR="00000000" w:rsidDel="00000000" w:rsidP="00000000" w:rsidRDefault="00000000" w:rsidRPr="00000000" w14:paraId="00000005">
      <w:pPr>
        <w:pStyle w:val="Heading6"/>
        <w:rPr/>
      </w:pPr>
      <w:bookmarkStart w:colFirst="0" w:colLast="0" w:name="_64ec1i5pydrz" w:id="2"/>
      <w:bookmarkEnd w:id="2"/>
      <w:r w:rsidDel="00000000" w:rsidR="00000000" w:rsidRPr="00000000">
        <w:rPr>
          <w:rtl w:val="0"/>
        </w:rPr>
        <w:t xml:space="preserve">Les 11 Critères de Conformité "Bien-être Général"</w:t>
      </w:r>
    </w:p>
    <w:p w:rsidR="00000000" w:rsidDel="00000000" w:rsidP="00000000" w:rsidRDefault="00000000" w:rsidRPr="00000000" w14:paraId="00000006">
      <w:pPr>
        <w:rPr/>
      </w:pPr>
      <w:r w:rsidDel="00000000" w:rsidR="00000000" w:rsidRPr="00000000">
        <w:rPr>
          <w:rtl w:val="0"/>
        </w:rPr>
        <w:t xml:space="preserve">Tout contenu produit par l'INC doit valider systématiquement les 11 points extraits de la source officielle :</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Usage exclusif :</w:t>
      </w:r>
      <w:r w:rsidDel="00000000" w:rsidR="00000000" w:rsidRPr="00000000">
        <w:rPr>
          <w:rtl w:val="0"/>
        </w:rPr>
        <w:t xml:space="preserve">  Destiné uniquement à un usage de bien-être général.</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Faible risque :</w:t>
      </w:r>
      <w:r w:rsidDel="00000000" w:rsidR="00000000" w:rsidRPr="00000000">
        <w:rPr>
          <w:rtl w:val="0"/>
        </w:rPr>
        <w:t xml:space="preserve">  Présenter un risque de sécurité minime pour l'utilisateur.</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Encouragement à la santé :</w:t>
      </w:r>
      <w:r w:rsidDel="00000000" w:rsidR="00000000" w:rsidRPr="00000000">
        <w:rPr>
          <w:rtl w:val="0"/>
        </w:rPr>
        <w:t xml:space="preserve">  Destiné au maintien ou à l'encouragement d'un état général de santé/activité saine OU destiné à aider à réduire le risque ou l'impact de certaines maladies chroniques (concept de « mieux vivre avec »).</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Non-invasif :</w:t>
      </w:r>
      <w:r w:rsidDel="00000000" w:rsidR="00000000" w:rsidRPr="00000000">
        <w:rPr>
          <w:rtl w:val="0"/>
        </w:rPr>
        <w:t xml:space="preserve">  Ne doit être ni invasif ni implanté.</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Sécurité technologique :</w:t>
      </w:r>
      <w:r w:rsidDel="00000000" w:rsidR="00000000" w:rsidRPr="00000000">
        <w:rPr>
          <w:rtl w:val="0"/>
        </w:rPr>
        <w:t xml:space="preserve">  Ne doit impliquer aucune intervention ou technologie posant un risque (ex: radiations).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Objectif non-médical :</w:t>
      </w:r>
      <w:r w:rsidDel="00000000" w:rsidR="00000000" w:rsidRPr="00000000">
        <w:rPr>
          <w:rtl w:val="0"/>
        </w:rPr>
        <w:t xml:space="preserve">  Ne pas prétendre diagnostiquer, guérir, atténuer, prévenir ou traiter une maladie ou condition.</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Non-substitution :</w:t>
      </w:r>
      <w:r w:rsidDel="00000000" w:rsidR="00000000" w:rsidRPr="00000000">
        <w:rPr>
          <w:rtl w:val="0"/>
        </w:rPr>
        <w:t xml:space="preserve">  Ne pas se présenter comme un substitut à un dispositif standard réglementé par la FDA.</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Indépendance clinique :</w:t>
      </w:r>
      <w:r w:rsidDel="00000000" w:rsidR="00000000" w:rsidRPr="00000000">
        <w:rPr>
          <w:rtl w:val="0"/>
        </w:rPr>
        <w:t xml:space="preserve">  Ne pas inclure de revendications ou de fonctions guidant une action clinique ou une gestion médicale spécifique.</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Validation des valeurs :</w:t>
      </w:r>
      <w:r w:rsidDel="00000000" w:rsidR="00000000" w:rsidRPr="00000000">
        <w:rPr>
          <w:rtl w:val="0"/>
        </w:rPr>
        <w:t xml:space="preserve">  Ne pas inclure de valeurs imitant celles utilisées cliniquement, à moins d'avoir été validé pour refléter ces valeurs.</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Neutralité de l'output :</w:t>
      </w:r>
      <w:r w:rsidDel="00000000" w:rsidR="00000000" w:rsidRPr="00000000">
        <w:rPr>
          <w:rtl w:val="0"/>
        </w:rPr>
        <w:t xml:space="preserve">  Ne pas caractériser le résultat comme anormal, pathologique ou diagnostique.</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Absence de surveillance active :</w:t>
      </w:r>
      <w:r w:rsidDel="00000000" w:rsidR="00000000" w:rsidRPr="00000000">
        <w:rPr>
          <w:rtl w:val="0"/>
        </w:rPr>
        <w:t xml:space="preserve">  Ne pas fournir d'alertes ou de monitoring continu destinés à gérer une maladie ou une condition spécifique.</w:t>
      </w:r>
      <w:r w:rsidDel="00000000" w:rsidR="00000000" w:rsidRPr="00000000">
        <w:rPr>
          <w:b w:val="1"/>
          <w:bCs w:val="1"/>
          <w:rtl w:val="0"/>
        </w:rPr>
        <w:t xml:space="preserve">Note Stratégique : L'écueil du Glucose.</w:t>
      </w:r>
      <w:r w:rsidDel="00000000" w:rsidR="00000000" w:rsidRPr="00000000">
        <w:rPr>
          <w:rtl w:val="0"/>
        </w:rPr>
        <w:t xml:space="preserve">  Conformément au critère 7, évitez de positionner l'INC sur des mesures de substitution directe comme le glucose sanguin, qui exige des validations Class II/III. Priorisez les paramètres comme la VFC (HRV) ou la saturation en oxygène, considérés comme plus sûrs pour le bien-être général si le caractère non-invasif est respecté.</w:t>
      </w:r>
    </w:p>
    <w:p w:rsidR="00000000" w:rsidDel="00000000" w:rsidP="00000000" w:rsidRDefault="00000000" w:rsidRPr="00000000" w14:paraId="00000012">
      <w:pPr>
        <w:pStyle w:val="Heading6"/>
        <w:rPr/>
      </w:pPr>
      <w:bookmarkStart w:colFirst="0" w:colLast="0" w:name="_jc13ss27w71" w:id="3"/>
      <w:bookmarkEnd w:id="3"/>
      <w:r w:rsidDel="00000000" w:rsidR="00000000" w:rsidRPr="00000000">
        <w:rPr>
          <w:rtl w:val="0"/>
        </w:rPr>
        <w:t xml:space="preserve">Distinction Sémantique Obligatoire</w:t>
      </w:r>
    </w:p>
    <w:p w:rsidR="00000000" w:rsidDel="00000000" w:rsidP="00000000" w:rsidRDefault="00000000" w:rsidRPr="00000000" w14:paraId="00000013">
      <w:pPr>
        <w:rPr/>
      </w:pPr>
      <w:r w:rsidDel="00000000" w:rsidR="00000000" w:rsidRPr="00000000">
        <w:rPr>
          <w:rtl w:val="0"/>
        </w:rPr>
        <w:t xml:space="preserve">Termes Autorisés (Bien-être),Termes Interdits (Réglementés)</w:t>
      </w:r>
    </w:p>
    <w:p w:rsidR="00000000" w:rsidDel="00000000" w:rsidP="00000000" w:rsidRDefault="00000000" w:rsidRPr="00000000" w14:paraId="00000014">
      <w:pPr>
        <w:rPr/>
      </w:pPr>
      <w:r w:rsidDel="00000000" w:rsidR="00000000" w:rsidRPr="00000000">
        <w:rPr>
          <w:rtl w:val="0"/>
        </w:rPr>
        <w:t xml:space="preserve">Maintien d'un mode de vie sain,Diagnostic / Diagnostiquer</w:t>
      </w:r>
    </w:p>
    <w:p w:rsidR="00000000" w:rsidDel="00000000" w:rsidP="00000000" w:rsidRDefault="00000000" w:rsidRPr="00000000" w14:paraId="00000015">
      <w:pPr>
        <w:rPr/>
      </w:pPr>
      <w:r w:rsidDel="00000000" w:rsidR="00000000" w:rsidRPr="00000000">
        <w:rPr>
          <w:rtl w:val="0"/>
        </w:rPr>
        <w:t xml:space="preserve">Vivre bien avec Condition,Guérir / Traiter une maladie</w:t>
      </w:r>
    </w:p>
    <w:p w:rsidR="00000000" w:rsidDel="00000000" w:rsidP="00000000" w:rsidRDefault="00000000" w:rsidRPr="00000000" w14:paraId="00000016">
      <w:pPr>
        <w:rPr/>
      </w:pPr>
      <w:r w:rsidDel="00000000" w:rsidR="00000000" w:rsidRPr="00000000">
        <w:rPr>
          <w:rtl w:val="0"/>
        </w:rPr>
        <w:t xml:space="preserve">Soutenir la gestion du stress,Prévenir / Atténuer une pathologie</w:t>
      </w:r>
    </w:p>
    <w:p w:rsidR="00000000" w:rsidDel="00000000" w:rsidP="00000000" w:rsidRDefault="00000000" w:rsidRPr="00000000" w14:paraId="00000017">
      <w:pPr>
        <w:rPr/>
      </w:pPr>
      <w:r w:rsidDel="00000000" w:rsidR="00000000" w:rsidRPr="00000000">
        <w:rPr>
          <w:rtl w:val="0"/>
        </w:rPr>
        <w:t xml:space="preserve">Estimation des paramètres de bien-être,Seuil clinique / Alerte pathologique</w:t>
      </w:r>
    </w:p>
    <w:p w:rsidR="00000000" w:rsidDel="00000000" w:rsidP="00000000" w:rsidRDefault="00000000" w:rsidRPr="00000000" w14:paraId="00000018">
      <w:pPr>
        <w:rPr/>
      </w:pPr>
      <w:r w:rsidDel="00000000" w:rsidR="00000000" w:rsidRPr="00000000">
        <w:rPr>
          <w:rtl w:val="0"/>
        </w:rPr>
        <w:t xml:space="preserve">Suivi des tendances physiologiques,Recommandation de traitement médical</w:t>
      </w:r>
    </w:p>
    <w:p w:rsidR="00000000" w:rsidDel="00000000" w:rsidP="00000000" w:rsidRDefault="00000000" w:rsidRPr="00000000" w14:paraId="00000019">
      <w:pPr>
        <w:pStyle w:val="Heading6"/>
        <w:rPr/>
      </w:pPr>
      <w:bookmarkStart w:colFirst="0" w:colLast="0" w:name="_u9uxt3cu904p" w:id="4"/>
      <w:bookmarkEnd w:id="4"/>
      <w:r w:rsidDel="00000000" w:rsidR="00000000" w:rsidRPr="00000000">
        <w:rPr>
          <w:rtl w:val="0"/>
        </w:rPr>
        <w:t xml:space="preserve">Gestion des Logiciels d'Aide à la Décision Clinique (CDS)</w:t>
      </w:r>
    </w:p>
    <w:p w:rsidR="00000000" w:rsidDel="00000000" w:rsidP="00000000" w:rsidRDefault="00000000" w:rsidRPr="00000000" w14:paraId="0000001A">
      <w:pPr>
        <w:rPr/>
      </w:pPr>
      <w:r w:rsidDel="00000000" w:rsidR="00000000" w:rsidRPr="00000000">
        <w:rPr>
          <w:rtl w:val="0"/>
        </w:rPr>
        <w:t xml:space="preserve">Pour rester hors du champ des dispositifs médicaux selon le  </w:t>
      </w:r>
      <w:r w:rsidDel="00000000" w:rsidR="00000000" w:rsidRPr="00000000">
        <w:rPr>
          <w:i w:val="1"/>
          <w:iCs w:val="1"/>
          <w:rtl w:val="0"/>
        </w:rPr>
        <w:t xml:space="preserve">21st Century Cures Act</w:t>
      </w:r>
      <w:r w:rsidDel="00000000" w:rsidR="00000000" w:rsidRPr="00000000">
        <w:rPr>
          <w:rtl w:val="0"/>
        </w:rPr>
        <w:t xml:space="preserve"> , les outils logiciels de l'INC doivent :</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Ne pas analyser de signaux directs provenant de dispositifs médicaux.</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Servir uniquement de support à l'analyse du professionnel de santé.</w:t>
      </w:r>
    </w:p>
    <w:p w:rsidR="00000000" w:rsidDel="00000000" w:rsidP="00000000" w:rsidRDefault="00000000" w:rsidRPr="00000000" w14:paraId="0000001D">
      <w:pPr>
        <w:numPr>
          <w:ilvl w:val="0"/>
          <w:numId w:val="9"/>
        </w:numPr>
        <w:ind w:left="720" w:hanging="360"/>
        <w:rPr>
          <w:u w:val="none"/>
        </w:rPr>
      </w:pPr>
      <w:r w:rsidDel="00000000" w:rsidR="00000000" w:rsidRPr="00000000">
        <w:rPr>
          <w:b w:val="1"/>
          <w:bCs w:val="1"/>
          <w:rtl w:val="0"/>
        </w:rPr>
        <w:t xml:space="preserve">Permettre impérativement au professionnel d'examiner de manière indépendante la base des recommandations.</w:t>
      </w:r>
      <w:r w:rsidDel="00000000" w:rsidR="00000000" w:rsidRPr="00000000">
        <w:rPr>
          <w:rtl w:val="0"/>
        </w:rPr>
        <w:t xml:space="preserve">  Le logiciel ne doit jamais être le décideur primaire.</w:t>
      </w:r>
    </w:p>
    <w:p w:rsidR="00000000" w:rsidDel="00000000" w:rsidP="00000000" w:rsidRDefault="00000000" w:rsidRPr="00000000" w14:paraId="0000001E">
      <w:pPr>
        <w:pStyle w:val="Heading5"/>
        <w:rPr/>
      </w:pPr>
      <w:bookmarkStart w:colFirst="0" w:colLast="0" w:name="_o2pjvxoow2r4" w:id="5"/>
      <w:bookmarkEnd w:id="5"/>
      <w:r w:rsidDel="00000000" w:rsidR="00000000" w:rsidRPr="00000000">
        <w:rPr>
          <w:rtl w:val="0"/>
        </w:rPr>
        <w:t xml:space="preserve">2. Stratégie de Lead Magnets (Guides Téléchargeables)</w:t>
      </w:r>
    </w:p>
    <w:p w:rsidR="00000000" w:rsidDel="00000000" w:rsidP="00000000" w:rsidRDefault="00000000" w:rsidRPr="00000000" w14:paraId="0000001F">
      <w:pPr>
        <w:rPr/>
      </w:pPr>
      <w:r w:rsidDel="00000000" w:rsidR="00000000" w:rsidRPr="00000000">
        <w:rPr>
          <w:rtl w:val="0"/>
        </w:rPr>
        <w:t xml:space="preserve">Ciblez une audience dont le pouvoir d'achat est  </w:t>
      </w:r>
      <w:r w:rsidDel="00000000" w:rsidR="00000000" w:rsidRPr="00000000">
        <w:rPr>
          <w:b w:val="1"/>
          <w:bCs w:val="1"/>
          <w:rtl w:val="0"/>
        </w:rPr>
        <w:t xml:space="preserve">double</w:t>
      </w:r>
      <w:r w:rsidDel="00000000" w:rsidR="00000000" w:rsidRPr="00000000">
        <w:rPr>
          <w:rtl w:val="0"/>
        </w:rPr>
        <w:t xml:space="preserve">  par rapport à la moyenne du web en déployant des actifs de contenu à haute valeur ajoutée.</w:t>
      </w:r>
    </w:p>
    <w:p w:rsidR="00000000" w:rsidDel="00000000" w:rsidP="00000000" w:rsidRDefault="00000000" w:rsidRPr="00000000" w14:paraId="00000020">
      <w:pPr>
        <w:pStyle w:val="Heading6"/>
        <w:rPr/>
      </w:pPr>
      <w:bookmarkStart w:colFirst="0" w:colLast="0" w:name="_a6krnlmu9nf2" w:id="6"/>
      <w:bookmarkEnd w:id="6"/>
      <w:r w:rsidDel="00000000" w:rsidR="00000000" w:rsidRPr="00000000">
        <w:rPr>
          <w:rtl w:val="0"/>
        </w:rPr>
        <w:t xml:space="preserve">Typologie des Guides</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Guide 1 :</w:t>
      </w:r>
      <w:r w:rsidDel="00000000" w:rsidR="00000000" w:rsidRPr="00000000">
        <w:rPr>
          <w:rtl w:val="0"/>
        </w:rPr>
        <w:t xml:space="preserve">   </w:t>
      </w:r>
      <w:r w:rsidDel="00000000" w:rsidR="00000000" w:rsidRPr="00000000">
        <w:rPr>
          <w:i w:val="1"/>
          <w:iCs w:val="1"/>
          <w:rtl w:val="0"/>
        </w:rPr>
        <w:t xml:space="preserve">Maîtriser la Variabilité de la Fréquence Cardiaque (HRV) pour une résilience quotidienne optimisée.</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Guide 2 :</w:t>
      </w:r>
      <w:r w:rsidDel="00000000" w:rsidR="00000000" w:rsidRPr="00000000">
        <w:rPr>
          <w:rtl w:val="0"/>
        </w:rPr>
        <w:t xml:space="preserve">   </w:t>
      </w:r>
      <w:r w:rsidDel="00000000" w:rsidR="00000000" w:rsidRPr="00000000">
        <w:rPr>
          <w:i w:val="1"/>
          <w:iCs w:val="1"/>
          <w:rtl w:val="0"/>
        </w:rPr>
        <w:t xml:space="preserve">Saturation en Oxygène et Vitalité : Comprendre les indicateurs non-invasifs du bien-être.</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Guide 3 :</w:t>
      </w:r>
      <w:r w:rsidDel="00000000" w:rsidR="00000000" w:rsidRPr="00000000">
        <w:rPr>
          <w:rtl w:val="0"/>
        </w:rPr>
        <w:t xml:space="preserve">   </w:t>
      </w:r>
      <w:r w:rsidDel="00000000" w:rsidR="00000000" w:rsidRPr="00000000">
        <w:rPr>
          <w:i w:val="1"/>
          <w:iCs w:val="1"/>
          <w:rtl w:val="0"/>
        </w:rPr>
        <w:t xml:space="preserve">Naviguer dans le paysage réglementaire 2026 pour les partenaires Health-Tech.</w:t>
      </w:r>
      <w:r w:rsidDel="00000000" w:rsidR="00000000" w:rsidRPr="00000000">
        <w:rPr>
          <w:rtl w:val="0"/>
        </w:rPr>
        <w:t xml:space="preserve">  (Guide stratégique pour capturer les leads B2B cliniques).</w:t>
      </w:r>
    </w:p>
    <w:p w:rsidR="00000000" w:rsidDel="00000000" w:rsidP="00000000" w:rsidRDefault="00000000" w:rsidRPr="00000000" w14:paraId="00000024">
      <w:pPr>
        <w:pStyle w:val="Heading6"/>
        <w:rPr/>
      </w:pPr>
      <w:bookmarkStart w:colFirst="0" w:colLast="0" w:name="_o9c9sv15zjte" w:id="7"/>
      <w:bookmarkEnd w:id="7"/>
      <w:r w:rsidDel="00000000" w:rsidR="00000000" w:rsidRPr="00000000">
        <w:rPr>
          <w:rtl w:val="0"/>
        </w:rPr>
        <w:t xml:space="preserve">Structure de Contenu Expert</w:t>
      </w:r>
    </w:p>
    <w:p w:rsidR="00000000" w:rsidDel="00000000" w:rsidP="00000000" w:rsidRDefault="00000000" w:rsidRPr="00000000" w14:paraId="00000025">
      <w:pPr>
        <w:rPr/>
      </w:pPr>
      <w:r w:rsidDel="00000000" w:rsidR="00000000" w:rsidRPr="00000000">
        <w:rPr>
          <w:rtl w:val="0"/>
        </w:rPr>
        <w:t xml:space="preserve">Chaque guide doit respecter cette architecture pour convertir l'autorité en confiance :</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Introduction :</w:t>
      </w:r>
      <w:r w:rsidDel="00000000" w:rsidR="00000000" w:rsidRPr="00000000">
        <w:rPr>
          <w:rtl w:val="0"/>
        </w:rPr>
        <w:t xml:space="preserve">  Définition du paramètre physiologique dans un contexte de bien-être.</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Expertise scientifique :</w:t>
      </w:r>
      <w:r w:rsidDel="00000000" w:rsidR="00000000" w:rsidRPr="00000000">
        <w:rPr>
          <w:rtl w:val="0"/>
        </w:rPr>
        <w:t xml:space="preserve">  Intégrez des validations basées sur des tests fabricants ou de la littérature clinique évaluée par les pairs (seule méthode de validation acceptée par la FDA pour justifier les sorties de données).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Études de cas / Métriques de succès :</w:t>
      </w:r>
      <w:r w:rsidDel="00000000" w:rsidR="00000000" w:rsidRPr="00000000">
        <w:rPr>
          <w:rtl w:val="0"/>
        </w:rPr>
        <w:t xml:space="preserve">  Présentez des données illustrant l'impact sur la qualité de vie.</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Conclusion &amp; CTA :</w:t>
      </w:r>
      <w:r w:rsidDel="00000000" w:rsidR="00000000" w:rsidRPr="00000000">
        <w:rPr>
          <w:rtl w:val="0"/>
        </w:rPr>
        <w:t xml:space="preserve">  Appels à l'action basés sur le fait que les audiences LinkedIn sont  </w:t>
      </w:r>
      <w:r w:rsidDel="00000000" w:rsidR="00000000" w:rsidRPr="00000000">
        <w:rPr>
          <w:b w:val="1"/>
          <w:bCs w:val="1"/>
          <w:rtl w:val="0"/>
        </w:rPr>
        <w:t xml:space="preserve">6 fois plus susceptibles de convertir</w:t>
      </w:r>
      <w:r w:rsidDel="00000000" w:rsidR="00000000" w:rsidRPr="00000000">
        <w:rPr>
          <w:rtl w:val="0"/>
        </w:rPr>
        <w:t xml:space="preserve"> .</w:t>
      </w:r>
    </w:p>
    <w:p w:rsidR="00000000" w:rsidDel="00000000" w:rsidP="00000000" w:rsidRDefault="00000000" w:rsidRPr="00000000" w14:paraId="0000002A">
      <w:pPr>
        <w:pStyle w:val="Heading5"/>
        <w:rPr/>
      </w:pPr>
      <w:bookmarkStart w:colFirst="0" w:colLast="0" w:name="_b0lx54n0gx2j" w:id="8"/>
      <w:bookmarkEnd w:id="8"/>
      <w:r w:rsidDel="00000000" w:rsidR="00000000" w:rsidRPr="00000000">
        <w:rPr>
          <w:rtl w:val="0"/>
        </w:rPr>
        <w:t xml:space="preserve">3. Architecture SEO : Modèle Hub and Spoke (Topic Clusters)</w:t>
      </w:r>
    </w:p>
    <w:p w:rsidR="00000000" w:rsidDel="00000000" w:rsidP="00000000" w:rsidRDefault="00000000" w:rsidRPr="00000000" w14:paraId="0000002B">
      <w:pPr>
        <w:rPr/>
      </w:pPr>
      <w:r w:rsidDel="00000000" w:rsidR="00000000" w:rsidRPr="00000000">
        <w:rPr>
          <w:rtl w:val="0"/>
        </w:rPr>
        <w:t xml:space="preserve">Implémentez une structure en silo pour dominer les résultats de recherche sans risque réglementaire.</w:t>
      </w:r>
    </w:p>
    <w:p w:rsidR="00000000" w:rsidDel="00000000" w:rsidP="00000000" w:rsidRDefault="00000000" w:rsidRPr="00000000" w14:paraId="0000002C">
      <w:pPr>
        <w:numPr>
          <w:ilvl w:val="0"/>
          <w:numId w:val="8"/>
        </w:numPr>
        <w:ind w:left="720" w:hanging="360"/>
        <w:rPr>
          <w:b w:val="1"/>
          <w:bCs w:val="1"/>
          <w:u w:val="none"/>
        </w:rPr>
      </w:pPr>
      <w:r w:rsidDel="00000000" w:rsidR="00000000" w:rsidRPr="00000000">
        <w:rPr>
          <w:b w:val="1"/>
          <w:bCs w:val="1"/>
          <w:rtl w:val="0"/>
        </w:rPr>
        <w:t xml:space="preserve">Cluster Pilier (Hub) : "Le Guide Définitif du Neurofeedback et du Bien-être Cérébral"</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Rédigez un article de fond (2000+ mots).</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Instruction Technique :</w:t>
      </w:r>
      <w:r w:rsidDel="00000000" w:rsidR="00000000" w:rsidRPr="00000000">
        <w:rPr>
          <w:rtl w:val="0"/>
        </w:rPr>
        <w:t xml:space="preserve">  Intégrez exclusivement les "Termes Autorisés" dans les balises H1 et H2 (ex: "Suivi des tendances de bien-être" au lieu de "Diagnostic cérébral") pour sécuriser le référencement.</w:t>
      </w:r>
    </w:p>
    <w:p w:rsidR="00000000" w:rsidDel="00000000" w:rsidP="00000000" w:rsidRDefault="00000000" w:rsidRPr="00000000" w14:paraId="0000002F">
      <w:pPr>
        <w:numPr>
          <w:ilvl w:val="0"/>
          <w:numId w:val="8"/>
        </w:numPr>
        <w:ind w:left="720" w:hanging="360"/>
        <w:rPr>
          <w:b w:val="1"/>
          <w:bCs w:val="1"/>
        </w:rPr>
      </w:pPr>
      <w:r w:rsidDel="00000000" w:rsidR="00000000" w:rsidRPr="00000000">
        <w:rPr>
          <w:b w:val="1"/>
          <w:bCs w:val="1"/>
          <w:rtl w:val="0"/>
        </w:rPr>
        <w:t xml:space="preserve">Articles Satellites (Spokes) :</w:t>
      </w:r>
    </w:p>
    <w:p w:rsidR="00000000" w:rsidDel="00000000" w:rsidP="00000000" w:rsidRDefault="00000000" w:rsidRPr="00000000" w14:paraId="00000030">
      <w:pPr>
        <w:numPr>
          <w:ilvl w:val="0"/>
          <w:numId w:val="8"/>
        </w:numPr>
        <w:ind w:left="720" w:hanging="360"/>
        <w:rPr>
          <w:i w:val="1"/>
          <w:iCs w:val="1"/>
        </w:rPr>
      </w:pPr>
      <w:r w:rsidDel="00000000" w:rsidR="00000000" w:rsidRPr="00000000">
        <w:rPr>
          <w:i w:val="1"/>
          <w:iCs w:val="1"/>
          <w:rtl w:val="0"/>
        </w:rPr>
        <w:t xml:space="preserve">L'influence de la saturation en oxygène sur la performance cognitive.</w:t>
      </w:r>
    </w:p>
    <w:p w:rsidR="00000000" w:rsidDel="00000000" w:rsidP="00000000" w:rsidRDefault="00000000" w:rsidRPr="00000000" w14:paraId="00000031">
      <w:pPr>
        <w:numPr>
          <w:ilvl w:val="0"/>
          <w:numId w:val="8"/>
        </w:numPr>
        <w:ind w:left="720" w:hanging="360"/>
        <w:rPr>
          <w:i w:val="1"/>
          <w:iCs w:val="1"/>
        </w:rPr>
      </w:pPr>
      <w:r w:rsidDel="00000000" w:rsidR="00000000" w:rsidRPr="00000000">
        <w:rPr>
          <w:i w:val="1"/>
          <w:iCs w:val="1"/>
          <w:rtl w:val="0"/>
        </w:rPr>
        <w:t xml:space="preserve">Vivre bien avec le stress : l'apport de la VFC.</w:t>
      </w:r>
    </w:p>
    <w:p w:rsidR="00000000" w:rsidDel="00000000" w:rsidP="00000000" w:rsidRDefault="00000000" w:rsidRPr="00000000" w14:paraId="00000032">
      <w:pPr>
        <w:numPr>
          <w:ilvl w:val="0"/>
          <w:numId w:val="8"/>
        </w:numPr>
        <w:ind w:left="720" w:hanging="360"/>
        <w:rPr>
          <w:i w:val="1"/>
          <w:iCs w:val="1"/>
        </w:rPr>
      </w:pPr>
      <w:r w:rsidDel="00000000" w:rsidR="00000000" w:rsidRPr="00000000">
        <w:rPr>
          <w:i w:val="1"/>
          <w:iCs w:val="1"/>
          <w:rtl w:val="0"/>
        </w:rPr>
        <w:t xml:space="preserve">Tendances physiologiques : le futur du suivi non-invasif.</w:t>
      </w:r>
    </w:p>
    <w:p w:rsidR="00000000" w:rsidDel="00000000" w:rsidP="00000000" w:rsidRDefault="00000000" w:rsidRPr="00000000" w14:paraId="00000033">
      <w:pPr>
        <w:numPr>
          <w:ilvl w:val="0"/>
          <w:numId w:val="8"/>
        </w:numPr>
        <w:ind w:left="720" w:hanging="360"/>
        <w:rPr>
          <w:u w:val="none"/>
        </w:rPr>
      </w:pPr>
      <w:r w:rsidDel="00000000" w:rsidR="00000000" w:rsidRPr="00000000">
        <w:rPr>
          <w:i w:val="1"/>
          <w:iCs w:val="1"/>
          <w:rtl w:val="0"/>
        </w:rPr>
        <w:t xml:space="preserve">Optimisation des wearables pour un mode de vie actif.</w:t>
      </w:r>
      <w:r w:rsidDel="00000000" w:rsidR="00000000" w:rsidRPr="00000000">
        <w:rPr>
          <w:b w:val="1"/>
          <w:bCs w:val="1"/>
          <w:rtl w:val="0"/>
        </w:rPr>
        <w:t xml:space="preserve">Maillage Interne :</w:t>
      </w:r>
      <w:r w:rsidDel="00000000" w:rsidR="00000000" w:rsidRPr="00000000">
        <w:rPr>
          <w:rtl w:val="0"/>
        </w:rPr>
        <w:t xml:space="preserve">  Liez systématiquement chaque article "Spoke" au "Hub" central en utilisant des ancres optimisées sur les paramètres de bien-être pour transférer l'autorité de page sans déclencher de surveillance pour "allégations médicales".</w:t>
      </w:r>
    </w:p>
    <w:p w:rsidR="00000000" w:rsidDel="00000000" w:rsidP="00000000" w:rsidRDefault="00000000" w:rsidRPr="00000000" w14:paraId="00000034">
      <w:pPr>
        <w:pStyle w:val="Heading5"/>
        <w:rPr/>
      </w:pPr>
      <w:bookmarkStart w:colFirst="0" w:colLast="0" w:name="_ru9ogxfzvqch" w:id="9"/>
      <w:bookmarkEnd w:id="9"/>
      <w:r w:rsidDel="00000000" w:rsidR="00000000" w:rsidRPr="00000000">
        <w:rPr>
          <w:rtl w:val="0"/>
        </w:rPr>
        <w:t xml:space="preserve">4. Synergie Marketing et Social Selling via LinkedIn</w:t>
      </w:r>
    </w:p>
    <w:p w:rsidR="00000000" w:rsidDel="00000000" w:rsidP="00000000" w:rsidRDefault="00000000" w:rsidRPr="00000000" w14:paraId="00000035">
      <w:pPr>
        <w:rPr/>
      </w:pPr>
      <w:r w:rsidDel="00000000" w:rsidR="00000000" w:rsidRPr="00000000">
        <w:rPr>
          <w:rtl w:val="0"/>
        </w:rPr>
        <w:t xml:space="preserve">Utilisez LinkedIn Sales Navigator pour atteindre un  </w:t>
      </w:r>
      <w:r w:rsidDel="00000000" w:rsidR="00000000" w:rsidRPr="00000000">
        <w:rPr>
          <w:b w:val="1"/>
          <w:bCs w:val="1"/>
          <w:rtl w:val="0"/>
        </w:rPr>
        <w:t xml:space="preserve">ROI de 312%</w:t>
      </w:r>
      <w:r w:rsidDel="00000000" w:rsidR="00000000" w:rsidRPr="00000000">
        <w:rPr>
          <w:rtl w:val="0"/>
        </w:rPr>
        <w:t xml:space="preserve">  sur trois ans, comme identifié dans les études de performance 2025.</w:t>
      </w:r>
    </w:p>
    <w:p w:rsidR="00000000" w:rsidDel="00000000" w:rsidP="00000000" w:rsidRDefault="00000000" w:rsidRPr="00000000" w14:paraId="00000036">
      <w:pPr>
        <w:pStyle w:val="Heading6"/>
        <w:rPr/>
      </w:pPr>
      <w:bookmarkStart w:colFirst="0" w:colLast="0" w:name="_must922kcb9a" w:id="10"/>
      <w:bookmarkEnd w:id="10"/>
      <w:r w:rsidDel="00000000" w:rsidR="00000000" w:rsidRPr="00000000">
        <w:rPr>
          <w:rtl w:val="0"/>
        </w:rPr>
        <w:t xml:space="preserve">Optimisation des Profils d'Experts</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Bannière &amp; Titre :</w:t>
      </w:r>
      <w:r w:rsidDel="00000000" w:rsidR="00000000" w:rsidRPr="00000000">
        <w:rPr>
          <w:rtl w:val="0"/>
        </w:rPr>
        <w:t xml:space="preserve">  Proposition de valeur claire orientée "Impact" et "Bien-être".</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Section "Ma Sélection" (Featured) :</w:t>
      </w:r>
      <w:r w:rsidDel="00000000" w:rsidR="00000000" w:rsidRPr="00000000">
        <w:rPr>
          <w:rtl w:val="0"/>
        </w:rPr>
        <w:t xml:space="preserve">   </w:t>
      </w:r>
      <w:r w:rsidDel="00000000" w:rsidR="00000000" w:rsidRPr="00000000">
        <w:rPr>
          <w:b w:val="1"/>
          <w:bCs w:val="1"/>
          <w:rtl w:val="0"/>
        </w:rPr>
        <w:t xml:space="preserve">Obligation</w:t>
      </w:r>
      <w:r w:rsidDel="00000000" w:rsidR="00000000" w:rsidRPr="00000000">
        <w:rPr>
          <w:rtl w:val="0"/>
        </w:rPr>
        <w:t xml:space="preserve">  d'y épingler un PDF de nos Lead Magnets pour établir une preuve d'expertise immédiate.</w:t>
      </w:r>
    </w:p>
    <w:p w:rsidR="00000000" w:rsidDel="00000000" w:rsidP="00000000" w:rsidRDefault="00000000" w:rsidRPr="00000000" w14:paraId="00000039">
      <w:pPr>
        <w:pStyle w:val="Heading6"/>
        <w:rPr/>
      </w:pPr>
      <w:bookmarkStart w:colFirst="0" w:colLast="0" w:name="_r54gic7c270p" w:id="11"/>
      <w:bookmarkEnd w:id="11"/>
      <w:r w:rsidDel="00000000" w:rsidR="00000000" w:rsidRPr="00000000">
        <w:rPr>
          <w:rtl w:val="0"/>
        </w:rPr>
        <w:t xml:space="preserve">Stratégie d'Engagement B2B</w:t>
      </w:r>
    </w:p>
    <w:p w:rsidR="00000000" w:rsidDel="00000000" w:rsidP="00000000" w:rsidRDefault="00000000" w:rsidRPr="00000000" w14:paraId="0000003A">
      <w:pPr>
        <w:rPr/>
      </w:pPr>
      <w:r w:rsidDel="00000000" w:rsidR="00000000" w:rsidRPr="00000000">
        <w:rPr>
          <w:rtl w:val="0"/>
        </w:rPr>
        <w:t xml:space="preserve">Déployez des messages InMail intégrant des  </w:t>
      </w:r>
      <w:r w:rsidDel="00000000" w:rsidR="00000000" w:rsidRPr="00000000">
        <w:rPr>
          <w:b w:val="1"/>
          <w:bCs w:val="1"/>
          <w:rtl w:val="0"/>
        </w:rPr>
        <w:t xml:space="preserve">SmartLinks</w:t>
      </w:r>
      <w:r w:rsidDel="00000000" w:rsidR="00000000" w:rsidRPr="00000000">
        <w:rPr>
          <w:rtl w:val="0"/>
        </w:rPr>
        <w:t xml:space="preserve"> . Cette fonctionnalité est critique pour traquer "l'intention d'achat" en temps réel et identifier quels segments de nos guides intéressent le plus les partenaires cliniques.</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Argumentaire de conversion :</w:t>
      </w:r>
      <w:r w:rsidDel="00000000" w:rsidR="00000000" w:rsidRPr="00000000">
        <w:rPr>
          <w:rtl w:val="0"/>
        </w:rPr>
        <w:t xml:space="preserve">  Soulignez que l'adoption des solutions INC peut générer une  </w:t>
      </w:r>
      <w:r w:rsidDel="00000000" w:rsidR="00000000" w:rsidRPr="00000000">
        <w:rPr>
          <w:b w:val="1"/>
          <w:bCs w:val="1"/>
          <w:rtl w:val="0"/>
        </w:rPr>
        <w:t xml:space="preserve">augmentation de 20% à 30% des revenus</w:t>
      </w:r>
      <w:r w:rsidDel="00000000" w:rsidR="00000000" w:rsidRPr="00000000">
        <w:rPr>
          <w:rtl w:val="0"/>
        </w:rPr>
        <w:t xml:space="preserve">  pour les cliniques partenaires en accélérant les cycles de décision.</w:t>
      </w:r>
      <w:r w:rsidDel="00000000" w:rsidR="00000000" w:rsidRPr="00000000">
        <w:rPr>
          <w:b w:val="1"/>
          <w:bCs w:val="1"/>
          <w:rtl w:val="0"/>
        </w:rPr>
        <w:t xml:space="preserve">Conseil d'Expert :</w:t>
      </w:r>
      <w:r w:rsidDel="00000000" w:rsidR="00000000" w:rsidRPr="00000000">
        <w:rPr>
          <w:rtl w:val="0"/>
        </w:rPr>
        <w:t xml:space="preserve">  Les prospects exposés à nos messages marketing sur LinkedIn sont  </w:t>
      </w:r>
      <w:r w:rsidDel="00000000" w:rsidR="00000000" w:rsidRPr="00000000">
        <w:rPr>
          <w:b w:val="1"/>
          <w:bCs w:val="1"/>
          <w:rtl w:val="0"/>
        </w:rPr>
        <w:t xml:space="preserve">25% plus enclins à engager</w:t>
      </w:r>
      <w:r w:rsidDel="00000000" w:rsidR="00000000" w:rsidRPr="00000000">
        <w:rPr>
          <w:rtl w:val="0"/>
        </w:rPr>
        <w:t xml:space="preserve">  avec nos commerciaux sur Sales Navigator. L'alignement marketing-ventes n'est pas une option, c'est un multiplicateur de performance.</w:t>
      </w:r>
    </w:p>
    <w:p w:rsidR="00000000" w:rsidDel="00000000" w:rsidP="00000000" w:rsidRDefault="00000000" w:rsidRPr="00000000" w14:paraId="0000003C">
      <w:pPr>
        <w:pStyle w:val="Heading5"/>
        <w:rPr/>
      </w:pPr>
      <w:bookmarkStart w:colFirst="0" w:colLast="0" w:name="_grssuze7kbeu" w:id="12"/>
      <w:bookmarkEnd w:id="12"/>
      <w:r w:rsidDel="00000000" w:rsidR="00000000" w:rsidRPr="00000000">
        <w:rPr>
          <w:rtl w:val="0"/>
        </w:rPr>
        <w:t xml:space="preserve">5. Plan d'Action et Mesure de la Performance</w:t>
      </w:r>
    </w:p>
    <w:p w:rsidR="00000000" w:rsidDel="00000000" w:rsidP="00000000" w:rsidRDefault="00000000" w:rsidRPr="00000000" w14:paraId="0000003D">
      <w:pPr>
        <w:pStyle w:val="Heading6"/>
        <w:rPr/>
      </w:pPr>
      <w:bookmarkStart w:colFirst="0" w:colLast="0" w:name="_sliep486lh00" w:id="13"/>
      <w:bookmarkEnd w:id="13"/>
      <w:r w:rsidDel="00000000" w:rsidR="00000000" w:rsidRPr="00000000">
        <w:rPr>
          <w:rtl w:val="0"/>
        </w:rPr>
        <w:t xml:space="preserve">Objectifs SMART (Baseline 2025-2026)</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Efficacité :</w:t>
      </w:r>
      <w:r w:rsidDel="00000000" w:rsidR="00000000" w:rsidRPr="00000000">
        <w:rPr>
          <w:rtl w:val="0"/>
        </w:rPr>
        <w:t xml:space="preserve">  Réduire le temps de prospection manuel de  </w:t>
      </w:r>
      <w:r w:rsidDel="00000000" w:rsidR="00000000" w:rsidRPr="00000000">
        <w:rPr>
          <w:b w:val="1"/>
          <w:bCs w:val="1"/>
          <w:rtl w:val="0"/>
        </w:rPr>
        <w:t xml:space="preserve">20-30%</w:t>
      </w:r>
      <w:r w:rsidDel="00000000" w:rsidR="00000000" w:rsidRPr="00000000">
        <w:rPr>
          <w:rtl w:val="0"/>
        </w:rPr>
        <w:t xml:space="preserve">  via l'automatisation des Sales Insights.</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Conversion :</w:t>
      </w:r>
      <w:r w:rsidDel="00000000" w:rsidR="00000000" w:rsidRPr="00000000">
        <w:rPr>
          <w:rtl w:val="0"/>
        </w:rPr>
        <w:t xml:space="preserve">  Atteindre une augmentation de  </w:t>
      </w:r>
      <w:r w:rsidDel="00000000" w:rsidR="00000000" w:rsidRPr="00000000">
        <w:rPr>
          <w:b w:val="1"/>
          <w:bCs w:val="1"/>
          <w:rtl w:val="0"/>
        </w:rPr>
        <w:t xml:space="preserve">20%</w:t>
      </w:r>
      <w:r w:rsidDel="00000000" w:rsidR="00000000" w:rsidRPr="00000000">
        <w:rPr>
          <w:rtl w:val="0"/>
        </w:rPr>
        <w:t xml:space="preserve">  du taux de clôture des opportunités sous 12 mois.</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Fidélisation :</w:t>
      </w:r>
      <w:r w:rsidDel="00000000" w:rsidR="00000000" w:rsidRPr="00000000">
        <w:rPr>
          <w:rtl w:val="0"/>
        </w:rPr>
        <w:t xml:space="preserve">  Améliorer la rétention des partenaires cliniques de  </w:t>
      </w:r>
      <w:r w:rsidDel="00000000" w:rsidR="00000000" w:rsidRPr="00000000">
        <w:rPr>
          <w:b w:val="1"/>
          <w:bCs w:val="1"/>
          <w:rtl w:val="0"/>
        </w:rPr>
        <w:t xml:space="preserve">10%</w:t>
      </w:r>
      <w:r w:rsidDel="00000000" w:rsidR="00000000" w:rsidRPr="00000000">
        <w:rPr>
          <w:rtl w:val="0"/>
        </w:rPr>
        <w:t xml:space="preserve">  via un suivi data-driven.</w:t>
      </w:r>
    </w:p>
    <w:p w:rsidR="00000000" w:rsidDel="00000000" w:rsidP="00000000" w:rsidRDefault="00000000" w:rsidRPr="00000000" w14:paraId="00000041">
      <w:pPr>
        <w:pStyle w:val="Heading6"/>
        <w:rPr/>
      </w:pPr>
      <w:bookmarkStart w:colFirst="0" w:colLast="0" w:name="_knczu5q1vkkg" w:id="14"/>
      <w:bookmarkEnd w:id="14"/>
      <w:r w:rsidDel="00000000" w:rsidR="00000000" w:rsidRPr="00000000">
        <w:rPr>
          <w:rtl w:val="0"/>
        </w:rPr>
        <w:t xml:space="preserve">Résolution des Points de Douleur (Pain Points)</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Biais d'Automatisation (Automation Bias) :</w:t>
      </w:r>
      <w:r w:rsidDel="00000000" w:rsidR="00000000" w:rsidRPr="00000000">
        <w:rPr>
          <w:rtl w:val="0"/>
        </w:rPr>
        <w:t xml:space="preserve">  Abordez frontalement ce risque (Criterion 4 du CDS) dans vos contenus en réitérant que nos outils soutiennent le jugement clinique sans le remplacer.</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bCs w:val="1"/>
          <w:rtl w:val="0"/>
        </w:rPr>
        <w:t xml:space="preserve">Données Fragmentées :</w:t>
      </w:r>
      <w:r w:rsidDel="00000000" w:rsidR="00000000" w:rsidRPr="00000000">
        <w:rPr>
          <w:rtl w:val="0"/>
        </w:rPr>
        <w:t xml:space="preserve">  Positionnez l'INC comme le point de centralisation garantissant la fiabilité des décisions.</w:t>
      </w:r>
    </w:p>
    <w:p w:rsidR="00000000" w:rsidDel="00000000" w:rsidP="00000000" w:rsidRDefault="00000000" w:rsidRPr="00000000" w14:paraId="00000044">
      <w:pPr>
        <w:pStyle w:val="Heading6"/>
        <w:rPr/>
      </w:pPr>
      <w:bookmarkStart w:colFirst="0" w:colLast="0" w:name="_pheimbsu942e" w:id="15"/>
      <w:bookmarkEnd w:id="15"/>
      <w:r w:rsidDel="00000000" w:rsidR="00000000" w:rsidRPr="00000000">
        <w:rPr>
          <w:rtl w:val="0"/>
        </w:rPr>
        <w:t xml:space="preserve">Calendrier de Révision Réglementaire</w:t>
      </w:r>
    </w:p>
    <w:p w:rsidR="00000000" w:rsidDel="00000000" w:rsidP="00000000" w:rsidRDefault="00000000" w:rsidRPr="00000000" w14:paraId="00000045">
      <w:pPr>
        <w:rPr/>
      </w:pPr>
      <w:r w:rsidDel="00000000" w:rsidR="00000000" w:rsidRPr="00000000">
        <w:rPr>
          <w:rtl w:val="0"/>
        </w:rPr>
        <w:t xml:space="preserve">Mettez en place un protocole de vérification trimestriel.</w:t>
      </w:r>
    </w:p>
    <w:p w:rsidR="00000000" w:rsidDel="00000000" w:rsidP="00000000" w:rsidRDefault="00000000" w:rsidRPr="00000000" w14:paraId="00000046">
      <w:pPr>
        <w:numPr>
          <w:ilvl w:val="0"/>
          <w:numId w:val="6"/>
        </w:numPr>
        <w:ind w:left="720" w:hanging="360"/>
        <w:rPr>
          <w:u w:val="none"/>
        </w:rPr>
      </w:pPr>
      <w:r w:rsidDel="00000000" w:rsidR="00000000" w:rsidRPr="00000000">
        <w:rPr>
          <w:b w:val="1"/>
          <w:bCs w:val="1"/>
          <w:rtl w:val="0"/>
        </w:rPr>
        <w:t xml:space="preserve">Alerte Critique :</w:t>
      </w:r>
      <w:r w:rsidDel="00000000" w:rsidR="00000000" w:rsidRPr="00000000">
        <w:rPr>
          <w:rtl w:val="0"/>
        </w:rPr>
        <w:t xml:space="preserve">  Notez que le guide SaMD a été retiré le  </w:t>
      </w:r>
      <w:r w:rsidDel="00000000" w:rsidR="00000000" w:rsidRPr="00000000">
        <w:rPr>
          <w:b w:val="1"/>
          <w:bCs w:val="1"/>
          <w:rtl w:val="0"/>
        </w:rPr>
        <w:t xml:space="preserve">7 janvier 2026</w:t>
      </w:r>
      <w:r w:rsidDel="00000000" w:rsidR="00000000" w:rsidRPr="00000000">
        <w:rPr>
          <w:rtl w:val="0"/>
        </w:rPr>
        <w:t xml:space="preserve"> . Toute référence à ce document dans nos contenus actuels doit être supprimée immédiatement pour maintenir notre conformité.</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Ajustez la sémantique en fonction des évolutions de la "discrétion d'application" de la FDA.</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