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Arial" w:cs="Arial" w:eastAsia="Arial" w:hAnsi="Arial"/>
          <w:b/>
          <w:bCs/>
          <w:color w:val="1F6FB2"/>
          <w:sz w:val="28"/>
          <w:szCs w:val="28"/>
        </w:rPr>
        <w:t xml:space="preserve">PROJET 13 — ANNEXE</w:t>
      </w:r>
    </w:p>
    <w:p>
      <w:pPr>
        <w:spacing w:after="300"/>
        <w:jc w:val="center"/>
      </w:pPr>
      <w:r>
        <w:rPr>
          <w:rFonts w:ascii="Arial" w:cs="Arial" w:eastAsia="Arial" w:hAnsi="Arial"/>
          <w:b/>
          <w:bCs/>
          <w:sz w:val="40"/>
          <w:szCs w:val="40"/>
        </w:rPr>
        <w:t xml:space="preserve">Veille métier et technologique</w:t>
      </w:r>
    </w:p>
    <w:p>
      <w:pPr>
        <w:spacing w:after="600"/>
        <w:jc w:val="center"/>
      </w:pPr>
      <w:r>
        <w:rPr>
          <w:rFonts w:ascii="Arial" w:cs="Arial" w:eastAsia="Arial" w:hAnsi="Arial"/>
          <w:color w:val="555555"/>
          <w:sz w:val="24"/>
          <w:szCs w:val="24"/>
        </w:rPr>
        <w:t xml:space="preserve">Nettoyage automatisé de données tabulaires — Pandera vs Great Expectations</w:t>
      </w:r>
    </w:p>
    <w:p>
      <w:pPr>
        <w:spacing w:after="80"/>
        <w:jc w:val="center"/>
      </w:pPr>
      <w:r>
        <w:rPr>
          <w:rFonts w:ascii="Arial" w:cs="Arial" w:eastAsia="Arial" w:hAnsi="Arial"/>
          <w:b/>
          <w:bCs/>
          <w:sz w:val="22"/>
          <w:szCs w:val="22"/>
        </w:rPr>
        <w:t xml:space="preserve">Quentin Chiniard</w:t>
      </w:r>
    </w:p>
    <w:p>
      <w:pPr>
        <w:jc w:val="center"/>
      </w:pPr>
      <w:r>
        <w:rPr>
          <w:rFonts w:ascii="Arial" w:cs="Arial" w:eastAsia="Arial" w:hAnsi="Arial"/>
          <w:color w:val="555555"/>
          <w:sz w:val="20"/>
          <w:szCs w:val="20"/>
        </w:rPr>
        <w:t xml:space="preserve">Août 2026</w:t>
      </w:r>
    </w:p>
    <w:p>
      <w:pPr>
        <w:pStyle w:val="Heading1"/>
        <w:spacing w:after="200" w:before="400"/>
      </w:pPr>
      <w:r>
        <w:t xml:space="preserve">1. Besoin de veille</w:t>
      </w:r>
    </w:p>
    <w:p>
      <w:pPr>
        <w:spacing w:after="160"/>
      </w:pPr>
      <w:r>
        <w:rPr>
          <w:rFonts w:ascii="Arial" w:cs="Arial" w:eastAsia="Arial" w:hAnsi="Arial"/>
          <w:sz w:val="22"/>
          <w:szCs w:val="22"/>
        </w:rPr>
        <w:t xml:space="preserve">Le notebook P6 original reposait sur des vérifications de qualité de données manuelles et ponctuelles (affichage des anomalies sans structuration ni correction), écrites au fil de l'eau dans des cellules ad hoc. Cette approche pose trois limites concrètes : elle n'est pas reproductible (aucune formalisation rejouable à chaque nouvel import de données), elle est fragile (une règle de qualité peut être oubliée ou mal écrite sans qu'on s'en aperçoive), et elle ne produit aucun livrable exploitable par une personne non-technique.</w:t>
      </w:r>
    </w:p>
    <w:p>
      <w:pPr>
        <w:spacing w:after="160"/>
      </w:pPr>
      <w:r>
        <w:rPr>
          <w:rFonts w:ascii="Arial" w:cs="Arial" w:eastAsia="Arial" w:hAnsi="Arial"/>
          <w:b/>
          <w:bCs/>
          <w:sz w:val="22"/>
          <w:szCs w:val="22"/>
        </w:rPr>
        <w:t xml:space="preserve">Besoin identifié : </w:t>
      </w:r>
      <w:r>
        <w:rPr>
          <w:rFonts w:ascii="Arial" w:cs="Arial" w:eastAsia="Arial" w:hAnsi="Arial"/>
          <w:sz w:val="22"/>
          <w:szCs w:val="22"/>
        </w:rPr>
        <w:t xml:space="preserve">disposer d'un outil de validation automatisée des données qui formalise les règles de qualité en un schéma unique, reproductible, et qui permette de générer un rapport d'anomalies structuré — sans réécrire de code à chaque exécution.</w:t>
      </w:r>
    </w:p>
    <w:p>
      <w:pPr>
        <w:pStyle w:val="Heading1"/>
        <w:spacing w:after="200" w:before="400"/>
      </w:pPr>
      <w:r>
        <w:t xml:space="preserve">2. Panel de solutions comparées</w:t>
      </w:r>
    </w:p>
    <w:p>
      <w:pPr>
        <w:pStyle w:val="ListParagraph"/>
        <w:numPr>
          <w:ilvl w:val="0"/>
          <w:numId w:val="1"/>
        </w:numPr>
        <w:spacing w:after="80"/>
      </w:pPr>
      <w:r>
        <w:rPr>
          <w:rFonts w:ascii="Arial" w:cs="Arial" w:eastAsia="Arial" w:hAnsi="Arial"/>
          <w:sz w:val="22"/>
          <w:szCs w:val="22"/>
        </w:rPr>
        <w:t xml:space="preserve">Pandera — bibliothèque de validation de schémas pour dataframes (Python)</w:t>
      </w:r>
    </w:p>
    <w:p>
      <w:pPr>
        <w:pStyle w:val="ListParagraph"/>
        <w:numPr>
          <w:ilvl w:val="0"/>
          <w:numId w:val="1"/>
        </w:numPr>
        <w:spacing w:after="80"/>
      </w:pPr>
      <w:r>
        <w:rPr>
          <w:rFonts w:ascii="Arial" w:cs="Arial" w:eastAsia="Arial" w:hAnsi="Arial"/>
          <w:sz w:val="22"/>
          <w:szCs w:val="22"/>
        </w:rPr>
        <w:t xml:space="preserve">Great Expectations (GX) — framework de validation, documentation et profilage de données</w:t>
      </w:r>
    </w:p>
    <w:p>
      <w:pPr>
        <w:spacing w:after="160"/>
      </w:pPr>
      <w:r>
        <w:rPr>
          <w:rFonts w:ascii="Arial" w:cs="Arial" w:eastAsia="Arial" w:hAnsi="Arial"/>
          <w:sz w:val="22"/>
          <w:szCs w:val="22"/>
        </w:rPr>
        <w:t xml:space="preserve">Les deux solutions sont open source, actives, et explicitement citées comme référence dans l'écosystème Python de qualité de données — Great Expectations est d'ailleurs mentionné dans la liste d'outils suggérés par la mission elle-même.</w:t>
      </w:r>
    </w:p>
    <w:p>
      <w:pPr>
        <w:pStyle w:val="Heading1"/>
        <w:spacing w:after="200" w:before="400"/>
      </w:pPr>
      <w:r>
        <w:t xml:space="preserve">3. Sources consultées</w:t>
      </w:r>
    </w:p>
    <w:p>
      <w:pPr>
        <w:spacing w:after="160"/>
      </w:pPr>
      <w:r>
        <w:rPr>
          <w:rFonts w:ascii="Arial" w:cs="Arial" w:eastAsia="Arial" w:hAnsi="Arial"/>
          <w:sz w:val="22"/>
          <w:szCs w:val="22"/>
        </w:rPr>
        <w:t xml:space="preserve">Recherche menée sur la documentation officielle des deux outils, complétée par des retours d'expérience et comparatifs indépendants récents :</w:t>
      </w:r>
    </w:p>
    <w:p>
      <w:pPr>
        <w:pStyle w:val="ListParagraph"/>
        <w:numPr>
          <w:ilvl w:val="0"/>
          <w:numId w:val="1"/>
        </w:numPr>
        <w:spacing w:after="100"/>
      </w:pPr>
      <w:hyperlink w:history="1" r:id="rIddiqxlr9fnejlj61jpgyxn">
        <w:r>
          <w:rPr>
            <w:rFonts w:ascii="Arial" w:cs="Arial" w:eastAsia="Arial" w:hAnsi="Arial"/>
            <w:color w:val="1155CC"/>
            <w:sz w:val="20"/>
            <w:szCs w:val="20"/>
            <w:u w:val="single"/>
          </w:rPr>
          <w:t xml:space="preserve">Pandera — documentation officielle — https://pandera.readthedocs.io/</w:t>
        </w:r>
      </w:hyperlink>
    </w:p>
    <w:p>
      <w:pPr>
        <w:pStyle w:val="ListParagraph"/>
        <w:numPr>
          <w:ilvl w:val="0"/>
          <w:numId w:val="1"/>
        </w:numPr>
        <w:spacing w:after="100"/>
      </w:pPr>
      <w:hyperlink w:history="1" r:id="rId8n-mmprlsrv9vddrp5s86">
        <w:r>
          <w:rPr>
            <w:rFonts w:ascii="Arial" w:cs="Arial" w:eastAsia="Arial" w:hAnsi="Arial"/>
            <w:color w:val="1155CC"/>
            <w:sz w:val="20"/>
            <w:szCs w:val="20"/>
            <w:u w:val="single"/>
          </w:rPr>
          <w:t xml:space="preserve">Pandera — validation des types de données — https://pandera.readthedocs.io/en/stable/dtype_validation.html</w:t>
        </w:r>
      </w:hyperlink>
    </w:p>
    <w:p>
      <w:pPr>
        <w:pStyle w:val="ListParagraph"/>
        <w:numPr>
          <w:ilvl w:val="0"/>
          <w:numId w:val="1"/>
        </w:numPr>
        <w:spacing w:after="100"/>
      </w:pPr>
      <w:hyperlink w:history="1" r:id="rIdm07pmmud_ymmvnusuvgxd">
        <w:r>
          <w:rPr>
            <w:rFonts w:ascii="Arial" w:cs="Arial" w:eastAsia="Arial" w:hAnsi="Arial"/>
            <w:color w:val="1155CC"/>
            <w:sz w:val="20"/>
            <w:szCs w:val="20"/>
            <w:u w:val="single"/>
          </w:rPr>
          <w:t xml:space="preserve">Great Expectations — GX Core overview (documentation officielle) — https://docs.greatexpectations.io/docs/core/introduction/gx_overview/</w:t>
        </w:r>
      </w:hyperlink>
    </w:p>
    <w:p>
      <w:pPr>
        <w:pStyle w:val="ListParagraph"/>
        <w:numPr>
          <w:ilvl w:val="0"/>
          <w:numId w:val="1"/>
        </w:numPr>
        <w:spacing w:after="100"/>
      </w:pPr>
      <w:hyperlink w:history="1" r:id="rId0cacj3iyoibm9xaasw76n">
        <w:r>
          <w:rPr>
            <w:rFonts w:ascii="Arial" w:cs="Arial" w:eastAsia="Arial" w:hAnsi="Arial"/>
            <w:color w:val="1155CC"/>
            <w:sz w:val="20"/>
            <w:szCs w:val="20"/>
            <w:u w:val="single"/>
          </w:rPr>
          <w:t xml:space="preserve">Great Expectations — configuration des Data Docs — https://docs.greatexpectations.io/docs/core/configure_project_settings/configure_data_docs/</w:t>
        </w:r>
      </w:hyperlink>
    </w:p>
    <w:p>
      <w:pPr>
        <w:pStyle w:val="ListParagraph"/>
        <w:numPr>
          <w:ilvl w:val="0"/>
          <w:numId w:val="1"/>
        </w:numPr>
        <w:spacing w:after="100"/>
      </w:pPr>
      <w:hyperlink w:history="1" r:id="rIdleqmkpqxtbx7yrnrvomqg">
        <w:r>
          <w:rPr>
            <w:rFonts w:ascii="Arial" w:cs="Arial" w:eastAsia="Arial" w:hAnsi="Arial"/>
            <w:color w:val="1155CC"/>
            <w:sz w:val="20"/>
            <w:szCs w:val="20"/>
            <w:u w:val="single"/>
          </w:rPr>
          <w:t xml:space="preserve">Endjin — comparatif indépendant "Data validation in Python: a look into Pandera and Great Expectations" — https://endjin.com/blog/a-look-into-pandera-and-great-expectations-for-data-validation</w:t>
        </w:r>
      </w:hyperlink>
    </w:p>
    <w:p>
      <w:pPr>
        <w:pStyle w:val="ListParagraph"/>
        <w:numPr>
          <w:ilvl w:val="0"/>
          <w:numId w:val="1"/>
        </w:numPr>
        <w:spacing w:after="100"/>
      </w:pPr>
      <w:hyperlink w:history="1" r:id="rIdxy-d8mfdsvs4ljrxdbjvl">
        <w:r>
          <w:rPr>
            <w:rFonts w:ascii="Arial" w:cs="Arial" w:eastAsia="Arial" w:hAnsi="Arial"/>
            <w:color w:val="1155CC"/>
            <w:sz w:val="20"/>
            <w:szCs w:val="20"/>
            <w:u w:val="single"/>
          </w:rPr>
          <w:t xml:space="preserve">KDnuggets — "Clean and Validate Your Data Using Pandera" — https://www.kdnuggets.com/clean-and-validate-your-data-using-pandera</w:t>
        </w:r>
      </w:hyperlink>
    </w:p>
    <w:p>
      <w:pPr>
        <w:pStyle w:val="ListParagraph"/>
        <w:numPr>
          <w:ilvl w:val="0"/>
          <w:numId w:val="1"/>
        </w:numPr>
        <w:spacing w:after="100"/>
      </w:pPr>
      <w:hyperlink w:history="1" r:id="rIdlyh9l0nci7-46t54ohfvo">
        <w:r>
          <w:rPr>
            <w:rFonts w:ascii="Arial" w:cs="Arial" w:eastAsia="Arial" w:hAnsi="Arial"/>
            <w:color w:val="1155CC"/>
            <w:sz w:val="20"/>
            <w:szCs w:val="20"/>
            <w:u w:val="single"/>
          </w:rPr>
          <w:t xml:space="preserve">DZone — "Pandera: The Open-Source Framework for Data Validation" — https://dzone.com/articles/pandera-open-source-data-validation-framework</w:t>
        </w:r>
      </w:hyperlink>
    </w:p>
    <w:p>
      <w:pPr>
        <w:pStyle w:val="Heading1"/>
        <w:spacing w:after="200" w:before="400"/>
      </w:pPr>
      <w:r>
        <w:t xml:space="preserve">4. Critères de comparaison retenus</w:t>
      </w:r>
    </w:p>
    <w:p>
      <w:pPr>
        <w:pStyle w:val="ListParagraph"/>
        <w:numPr>
          <w:ilvl w:val="0"/>
          <w:numId w:val="1"/>
        </w:numPr>
        <w:spacing w:after="80"/>
      </w:pPr>
      <w:r>
        <w:rPr>
          <w:rFonts w:ascii="Arial" w:cs="Arial" w:eastAsia="Arial" w:hAnsi="Arial"/>
          <w:sz w:val="22"/>
          <w:szCs w:val="22"/>
        </w:rPr>
        <w:t xml:space="preserve">Qualité — richesse des règles de validation disponibles nativement</w:t>
      </w:r>
    </w:p>
    <w:p>
      <w:pPr>
        <w:pStyle w:val="ListParagraph"/>
        <w:numPr>
          <w:ilvl w:val="0"/>
          <w:numId w:val="1"/>
        </w:numPr>
        <w:spacing w:after="80"/>
      </w:pPr>
      <w:r>
        <w:rPr>
          <w:rFonts w:ascii="Arial" w:cs="Arial" w:eastAsia="Arial" w:hAnsi="Arial"/>
          <w:sz w:val="22"/>
          <w:szCs w:val="22"/>
        </w:rPr>
        <w:t xml:space="preserve">Robustesse — fiabilité et clarté des messages d'erreur en cas d'échec</w:t>
      </w:r>
    </w:p>
    <w:p>
      <w:pPr>
        <w:pStyle w:val="ListParagraph"/>
        <w:numPr>
          <w:ilvl w:val="0"/>
          <w:numId w:val="1"/>
        </w:numPr>
        <w:spacing w:after="80"/>
      </w:pPr>
      <w:r>
        <w:rPr>
          <w:rFonts w:ascii="Arial" w:cs="Arial" w:eastAsia="Arial" w:hAnsi="Arial"/>
          <w:sz w:val="22"/>
          <w:szCs w:val="22"/>
        </w:rPr>
        <w:t xml:space="preserve">Coût de mise en place — volume de code, complexité de configuration, dépendances</w:t>
      </w:r>
    </w:p>
    <w:p>
      <w:pPr>
        <w:pStyle w:val="ListParagraph"/>
        <w:numPr>
          <w:ilvl w:val="0"/>
          <w:numId w:val="1"/>
        </w:numPr>
        <w:spacing w:after="80"/>
      </w:pPr>
      <w:r>
        <w:rPr>
          <w:rFonts w:ascii="Arial" w:cs="Arial" w:eastAsia="Arial" w:hAnsi="Arial"/>
          <w:sz w:val="22"/>
          <w:szCs w:val="22"/>
        </w:rPr>
        <w:t xml:space="preserve">Reproductibilité — facilité à rejouer la validation sur de nouvelles données</w:t>
      </w:r>
    </w:p>
    <w:p>
      <w:pPr>
        <w:pStyle w:val="ListParagraph"/>
        <w:numPr>
          <w:ilvl w:val="0"/>
          <w:numId w:val="1"/>
        </w:numPr>
        <w:spacing w:after="80"/>
      </w:pPr>
      <w:r>
        <w:rPr>
          <w:rFonts w:ascii="Arial" w:cs="Arial" w:eastAsia="Arial" w:hAnsi="Arial"/>
          <w:sz w:val="22"/>
          <w:szCs w:val="22"/>
        </w:rPr>
        <w:t xml:space="preserve">Maintenabilité — adéquation à un contexte de travail individuel vs équipe</w:t>
      </w:r>
    </w:p>
    <w:p>
      <w:pPr>
        <w:pStyle w:val="Heading1"/>
        <w:spacing w:after="200" w:before="400"/>
      </w:pPr>
      <w:r>
        <w:t xml:space="preserve">5. Fiches de veille par solution</w:t>
      </w:r>
    </w:p>
    <w:p>
      <w:pPr>
        <w:pStyle w:val="Heading2"/>
        <w:spacing w:after="150" w:before="300"/>
      </w:pPr>
      <w:r>
        <w:t xml:space="preserve">5.1 — Pandera</w:t>
      </w:r>
    </w:p>
    <w:p>
      <w:pPr>
        <w:spacing w:after="160"/>
      </w:pPr>
      <w:r>
        <w:rPr>
          <w:rFonts w:ascii="Arial" w:cs="Arial" w:eastAsia="Arial" w:hAnsi="Arial"/>
          <w:b/>
          <w:bCs/>
          <w:sz w:val="22"/>
          <w:szCs w:val="22"/>
        </w:rPr>
        <w:t xml:space="preserve">Cas d'usage : </w:t>
      </w:r>
      <w:r>
        <w:rPr>
          <w:rFonts w:ascii="Arial" w:cs="Arial" w:eastAsia="Arial" w:hAnsi="Arial"/>
          <w:sz w:val="22"/>
          <w:szCs w:val="22"/>
        </w:rPr>
        <w:t xml:space="preserve">Pandera est un projet open source (Union.ai, licence MIT) qui fournit une API expressive pour valider des objets de type dataframe. Il définit des schémas décrivant les propriétés attendues (noms de colonnes, types, propriétés statistiques) et les fait respecter à l'exécution, ce qui permet de détecter des problèmes de qualité tôt dans le pipeline plutôt que de laisser une corruption silencieuse se propager en aval. Il propose deux styles d'API : une API objet (DataFrameSchema) et une API par classes inspirée de Pydantic (DataFrameModel).</w:t>
      </w:r>
    </w:p>
    <w:p>
      <w:pPr>
        <w:spacing w:after="160"/>
      </w:pPr>
      <w:r>
        <w:rPr>
          <w:rFonts w:ascii="Arial" w:cs="Arial" w:eastAsia="Arial" w:hAnsi="Arial"/>
          <w:b/>
          <w:bCs/>
          <w:sz w:val="22"/>
          <w:szCs w:val="22"/>
        </w:rPr>
        <w:t xml:space="preserve">Avantages : </w:t>
      </w:r>
      <w:r>
        <w:rPr>
          <w:rFonts w:ascii="Arial" w:cs="Arial" w:eastAsia="Arial" w:hAnsi="Arial"/>
          <w:sz w:val="22"/>
          <w:szCs w:val="22"/>
        </w:rPr>
        <w:t xml:space="preserve">API légère et lisible, courbe d'apprentissage réputée faible ; supporte nativement plusieurs bibliothèques de dataframes (pandas, polars, dask, modin, ibis, pyspark) via un même schéma ; intégration avec l'écosystème Python existant (pydantic, FastAPI, mypy) ; support de la coercition de types et de la génération de données d'exemple conformes au schéma.</w:t>
      </w:r>
    </w:p>
    <w:p>
      <w:pPr>
        <w:spacing w:after="160"/>
      </w:pPr>
      <w:r>
        <w:rPr>
          <w:rFonts w:ascii="Arial" w:cs="Arial" w:eastAsia="Arial" w:hAnsi="Arial"/>
          <w:b/>
          <w:bCs/>
          <w:sz w:val="22"/>
          <w:szCs w:val="22"/>
        </w:rPr>
        <w:t xml:space="preserve">Limites : </w:t>
      </w:r>
      <w:r>
        <w:rPr>
          <w:rFonts w:ascii="Arial" w:cs="Arial" w:eastAsia="Arial" w:hAnsi="Arial"/>
          <w:sz w:val="22"/>
          <w:szCs w:val="22"/>
        </w:rPr>
        <w:t xml:space="preserve">moins outillé nativement pour la gouvernance à grande échelle (pas de documentation HTML auto-générée équivalente aux Data Docs de GX) ; les règles complexes portant sur plusieurs colonnes ou plusieurs dataframes nécessitent des fonctions de vérification écrites à la main (checks personnalisés).</w:t>
      </w:r>
    </w:p>
    <w:p>
      <w:pPr>
        <w:spacing w:after="160"/>
      </w:pPr>
      <w:r>
        <w:rPr>
          <w:rFonts w:ascii="Arial" w:cs="Arial" w:eastAsia="Arial" w:hAnsi="Arial"/>
          <w:b/>
          <w:bCs/>
          <w:sz w:val="22"/>
          <w:szCs w:val="22"/>
        </w:rPr>
        <w:t xml:space="preserve">Prérequis : </w:t>
      </w:r>
      <w:r>
        <w:rPr>
          <w:rFonts w:ascii="Arial" w:cs="Arial" w:eastAsia="Arial" w:hAnsi="Arial"/>
          <w:sz w:val="22"/>
          <w:szCs w:val="22"/>
        </w:rPr>
        <w:t xml:space="preserve">Python et pandas (ou une des bibliothèques de dataframes supportées) ; aucune infrastructure supplémentaire.</w:t>
      </w:r>
    </w:p>
    <w:p>
      <w:pPr>
        <w:spacing w:after="160"/>
      </w:pPr>
      <w:r>
        <w:rPr>
          <w:rFonts w:ascii="Arial" w:cs="Arial" w:eastAsia="Arial" w:hAnsi="Arial"/>
          <w:b/>
          <w:bCs/>
          <w:sz w:val="22"/>
          <w:szCs w:val="22"/>
        </w:rPr>
        <w:t xml:space="preserve">Décision : </w:t>
      </w:r>
      <w:r>
        <w:rPr>
          <w:rFonts w:ascii="Arial" w:cs="Arial" w:eastAsia="Arial" w:hAnsi="Arial"/>
          <w:sz w:val="22"/>
          <w:szCs w:val="22"/>
        </w:rPr>
        <w:t xml:space="preserve">solution testée et retenue (voir document principal, §3, pour le détail du test comparatif en conditions réelles).</w:t>
      </w:r>
    </w:p>
    <w:p>
      <w:pPr>
        <w:pStyle w:val="Heading2"/>
        <w:spacing w:after="150" w:before="300"/>
      </w:pPr>
      <w:r>
        <w:t xml:space="preserve">5.2 — Great Expectations (GX)</w:t>
      </w:r>
    </w:p>
    <w:p>
      <w:pPr>
        <w:spacing w:after="160"/>
      </w:pPr>
      <w:r>
        <w:rPr>
          <w:rFonts w:ascii="Arial" w:cs="Arial" w:eastAsia="Arial" w:hAnsi="Arial"/>
          <w:b/>
          <w:bCs/>
          <w:sz w:val="22"/>
          <w:szCs w:val="22"/>
        </w:rPr>
        <w:t xml:space="preserve">Cas d'usage : </w:t>
      </w:r>
      <w:r>
        <w:rPr>
          <w:rFonts w:ascii="Arial" w:cs="Arial" w:eastAsia="Arial" w:hAnsi="Arial"/>
          <w:sz w:val="22"/>
          <w:szCs w:val="22"/>
        </w:rPr>
        <w:t xml:space="preserve">Great Expectations se présente comme un framework de référence pour valider, documenter et profiler des données, avec un objectif explicite d'amélioration de la communication entre équipes autour de la qualité des données. L'architecture s'organise autour de composants dédiés : un Data Context (point d'entrée de l'API, gère la configuration et les métadonnées du projet), des Data Sources, des Expectations (les règles de validation), et des Checkpoints — le moyen principal de valider des données en production, qui regroupent un lot de données et une suite d'Expectations à exécuter ensemble.</w:t>
      </w:r>
    </w:p>
    <w:p>
      <w:pPr>
        <w:spacing w:after="160"/>
      </w:pPr>
      <w:r>
        <w:rPr>
          <w:rFonts w:ascii="Arial" w:cs="Arial" w:eastAsia="Arial" w:hAnsi="Arial"/>
          <w:b/>
          <w:bCs/>
          <w:sz w:val="22"/>
          <w:szCs w:val="22"/>
        </w:rPr>
        <w:t xml:space="preserve">Avantages : </w:t>
      </w:r>
      <w:r>
        <w:rPr>
          <w:rFonts w:ascii="Arial" w:cs="Arial" w:eastAsia="Arial" w:hAnsi="Arial"/>
          <w:sz w:val="22"/>
          <w:szCs w:val="22"/>
        </w:rPr>
        <w:t xml:space="preserve">génération automatique de Data Docs — une documentation HTML statique et lisible par des non-techniciens, compilée à partir des suites d'Expectations et des résultats de validation ; système d'Actions permettant de déclencher des notifications (email, Slack) automatiquement en cas d'échec de validation, utile pour un pipeline de production partagé par une équipe ; large bibliothèque d'Expectations prêtes à l'emploi, y compris pour des règles multi-colonnes.</w:t>
      </w:r>
    </w:p>
    <w:p>
      <w:pPr>
        <w:spacing w:after="160"/>
      </w:pPr>
      <w:r>
        <w:rPr>
          <w:rFonts w:ascii="Arial" w:cs="Arial" w:eastAsia="Arial" w:hAnsi="Arial"/>
          <w:b/>
          <w:bCs/>
          <w:sz w:val="22"/>
          <w:szCs w:val="22"/>
        </w:rPr>
        <w:t xml:space="preserve">Limites : </w:t>
      </w:r>
      <w:r>
        <w:rPr>
          <w:rFonts w:ascii="Arial" w:cs="Arial" w:eastAsia="Arial" w:hAnsi="Arial"/>
          <w:sz w:val="22"/>
          <w:szCs w:val="22"/>
        </w:rPr>
        <w:t xml:space="preserve">empreinte nettement plus lourde (une évaluation indépendante recense environ 107 paquets installés dans un environnement vierge) ; documentation abondante mais dense, avec une terminologie propre (Data Context, Batch, Checkpoint, Validation Definition...) qui demande un effort d'appropriation avant d'être productif ; l'essentiel des bénéfices (Data Docs, Actions, gouvernance) prend son sens dans un contexte de partage entre plusieurs personnes ou pipelines, pas pour un usage individuel ponctuel.</w:t>
      </w:r>
    </w:p>
    <w:p>
      <w:pPr>
        <w:spacing w:after="160"/>
      </w:pPr>
      <w:r>
        <w:rPr>
          <w:rFonts w:ascii="Arial" w:cs="Arial" w:eastAsia="Arial" w:hAnsi="Arial"/>
          <w:b/>
          <w:bCs/>
          <w:sz w:val="22"/>
          <w:szCs w:val="22"/>
        </w:rPr>
        <w:t xml:space="preserve">Prérequis : </w:t>
      </w:r>
      <w:r>
        <w:rPr>
          <w:rFonts w:ascii="Arial" w:cs="Arial" w:eastAsia="Arial" w:hAnsi="Arial"/>
          <w:sz w:val="22"/>
          <w:szCs w:val="22"/>
        </w:rPr>
        <w:t xml:space="preserve">Python 3.10 à 3.13 ; un Data Context à configurer (fichier ou en mémoire) ; empreinte de dépendances nettement plus importante que Pandera.</w:t>
      </w:r>
    </w:p>
    <w:p>
      <w:pPr>
        <w:spacing w:after="160"/>
      </w:pPr>
      <w:r>
        <w:rPr>
          <w:rFonts w:ascii="Arial" w:cs="Arial" w:eastAsia="Arial" w:hAnsi="Arial"/>
          <w:b/>
          <w:bCs/>
          <w:sz w:val="22"/>
          <w:szCs w:val="22"/>
        </w:rPr>
        <w:t xml:space="preserve">Décision : </w:t>
      </w:r>
      <w:r>
        <w:rPr>
          <w:rFonts w:ascii="Arial" w:cs="Arial" w:eastAsia="Arial" w:hAnsi="Arial"/>
          <w:sz w:val="22"/>
          <w:szCs w:val="22"/>
        </w:rPr>
        <w:t xml:space="preserve">solution testée mais écartée pour ce projet — voir document principal, §3, pour la justification détaillée (contexte de travail individuel).</w:t>
      </w:r>
    </w:p>
    <w:p>
      <w:pPr>
        <w:pStyle w:val="Heading1"/>
        <w:spacing w:after="200" w:before="400"/>
      </w:pPr>
      <w:r>
        <w:t xml:space="preserve">6. Synthèse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E8EEF4" w:val="clear"/>
            <w:tcMar>
              <w:top w:type="dxa" w:w="80"/>
              <w:left w:type="dxa" w:w="100"/>
              <w:bottom w:type="dxa" w:w="80"/>
              <w:right w:type="dxa" w:w="100"/>
            </w:tcMar>
          </w:tcPr>
          <w:p>
            <w:r>
              <w:rPr>
                <w:rFonts w:ascii="Arial" w:cs="Arial" w:eastAsia="Arial" w:hAnsi="Arial"/>
                <w:b/>
                <w:bCs/>
                <w:sz w:val="20"/>
                <w:szCs w:val="20"/>
              </w:rPr>
              <w:t xml:space="preserve">Critère</w:t>
            </w:r>
          </w:p>
        </w:tc>
        <w:tc>
          <w:tcPr>
            <w:tcW w:type="dxa" w:w="3300"/>
            <w:shd w:fill="E8EEF4" w:val="clear"/>
            <w:tcMar>
              <w:top w:type="dxa" w:w="80"/>
              <w:left w:type="dxa" w:w="100"/>
              <w:bottom w:type="dxa" w:w="80"/>
              <w:right w:type="dxa" w:w="100"/>
            </w:tcMar>
          </w:tcPr>
          <w:p>
            <w:r>
              <w:rPr>
                <w:rFonts w:ascii="Arial" w:cs="Arial" w:eastAsia="Arial" w:hAnsi="Arial"/>
                <w:b/>
                <w:bCs/>
                <w:sz w:val="20"/>
                <w:szCs w:val="20"/>
              </w:rPr>
              <w:t xml:space="preserve">Pandera</w:t>
            </w:r>
          </w:p>
        </w:tc>
        <w:tc>
          <w:tcPr>
            <w:tcW w:type="dxa" w:w="3300"/>
            <w:shd w:fill="E8EEF4" w:val="clear"/>
            <w:tcMar>
              <w:top w:type="dxa" w:w="80"/>
              <w:left w:type="dxa" w:w="100"/>
              <w:bottom w:type="dxa" w:w="80"/>
              <w:right w:type="dxa" w:w="100"/>
            </w:tcMar>
          </w:tcPr>
          <w:p>
            <w:r>
              <w:rPr>
                <w:rFonts w:ascii="Arial" w:cs="Arial" w:eastAsia="Arial" w:hAnsi="Arial"/>
                <w:b/>
                <w:bCs/>
                <w:sz w:val="20"/>
                <w:szCs w:val="20"/>
              </w:rPr>
              <w:t xml:space="preserve">Great Expectations</w:t>
            </w:r>
          </w:p>
        </w:tc>
      </w:tr>
      <w:tr>
        <w:tc>
          <w:tcPr>
            <w:tcW w:type="dxa" w:w="2400"/>
            <w:tcMar>
              <w:top w:type="dxa" w:w="80"/>
              <w:left w:type="dxa" w:w="100"/>
              <w:bottom w:type="dxa" w:w="80"/>
              <w:right w:type="dxa" w:w="100"/>
            </w:tcMar>
          </w:tcPr>
          <w:p>
            <w:r>
              <w:rPr>
                <w:rFonts w:ascii="Arial" w:cs="Arial" w:eastAsia="Arial" w:hAnsi="Arial"/>
                <w:b w:val="false"/>
                <w:bCs w:val="false"/>
                <w:sz w:val="20"/>
                <w:szCs w:val="20"/>
              </w:rPr>
              <w:t xml:space="preserve">Richesse des règles natives</w:t>
            </w:r>
          </w:p>
        </w:tc>
        <w:tc>
          <w:tcPr>
            <w:tcW w:type="dxa" w:w="3300"/>
            <w:tcMar>
              <w:top w:type="dxa" w:w="80"/>
              <w:left w:type="dxa" w:w="100"/>
              <w:bottom w:type="dxa" w:w="80"/>
              <w:right w:type="dxa" w:w="100"/>
            </w:tcMar>
          </w:tcPr>
          <w:p>
            <w:r>
              <w:rPr>
                <w:rFonts w:ascii="Arial" w:cs="Arial" w:eastAsia="Arial" w:hAnsi="Arial"/>
                <w:b w:val="false"/>
                <w:bCs w:val="false"/>
                <w:sz w:val="20"/>
                <w:szCs w:val="20"/>
              </w:rPr>
              <w:t xml:space="preserve">Correcte, extensible par checks personnalisés</w:t>
            </w:r>
          </w:p>
        </w:tc>
        <w:tc>
          <w:tcPr>
            <w:tcW w:type="dxa" w:w="3300"/>
            <w:tcMar>
              <w:top w:type="dxa" w:w="80"/>
              <w:left w:type="dxa" w:w="100"/>
              <w:bottom w:type="dxa" w:w="80"/>
              <w:right w:type="dxa" w:w="100"/>
            </w:tcMar>
          </w:tcPr>
          <w:p>
            <w:r>
              <w:rPr>
                <w:rFonts w:ascii="Arial" w:cs="Arial" w:eastAsia="Arial" w:hAnsi="Arial"/>
                <w:b w:val="false"/>
                <w:bCs w:val="false"/>
                <w:sz w:val="20"/>
                <w:szCs w:val="20"/>
              </w:rPr>
              <w:t xml:space="preserve">Très riche, y compris règles multi-colonnes prêtes à l'emploi</w:t>
            </w:r>
          </w:p>
        </w:tc>
      </w:tr>
      <w:tr>
        <w:tc>
          <w:tcPr>
            <w:tcW w:type="dxa" w:w="2400"/>
            <w:tcMar>
              <w:top w:type="dxa" w:w="80"/>
              <w:left w:type="dxa" w:w="100"/>
              <w:bottom w:type="dxa" w:w="80"/>
              <w:right w:type="dxa" w:w="100"/>
            </w:tcMar>
          </w:tcPr>
          <w:p>
            <w:r>
              <w:rPr>
                <w:rFonts w:ascii="Arial" w:cs="Arial" w:eastAsia="Arial" w:hAnsi="Arial"/>
                <w:b w:val="false"/>
                <w:bCs w:val="false"/>
                <w:sz w:val="20"/>
                <w:szCs w:val="20"/>
              </w:rPr>
              <w:t xml:space="preserve">Coût de mise en place</w:t>
            </w:r>
          </w:p>
        </w:tc>
        <w:tc>
          <w:tcPr>
            <w:tcW w:type="dxa" w:w="3300"/>
            <w:tcMar>
              <w:top w:type="dxa" w:w="80"/>
              <w:left w:type="dxa" w:w="100"/>
              <w:bottom w:type="dxa" w:w="80"/>
              <w:right w:type="dxa" w:w="100"/>
            </w:tcMar>
          </w:tcPr>
          <w:p>
            <w:r>
              <w:rPr>
                <w:rFonts w:ascii="Arial" w:cs="Arial" w:eastAsia="Arial" w:hAnsi="Arial"/>
                <w:b w:val="false"/>
                <w:bCs w:val="false"/>
                <w:sz w:val="20"/>
                <w:szCs w:val="20"/>
              </w:rPr>
              <w:t xml:space="preserve">Faible (schéma direct)</w:t>
            </w:r>
          </w:p>
        </w:tc>
        <w:tc>
          <w:tcPr>
            <w:tcW w:type="dxa" w:w="3300"/>
            <w:tcMar>
              <w:top w:type="dxa" w:w="80"/>
              <w:left w:type="dxa" w:w="100"/>
              <w:bottom w:type="dxa" w:w="80"/>
              <w:right w:type="dxa" w:w="100"/>
            </w:tcMar>
          </w:tcPr>
          <w:p>
            <w:r>
              <w:rPr>
                <w:rFonts w:ascii="Arial" w:cs="Arial" w:eastAsia="Arial" w:hAnsi="Arial"/>
                <w:b w:val="false"/>
                <w:bCs w:val="false"/>
                <w:sz w:val="20"/>
                <w:szCs w:val="20"/>
              </w:rPr>
              <w:t xml:space="preserve">Élevé (Data Context, Checkpoints, configuration)</w:t>
            </w:r>
          </w:p>
        </w:tc>
      </w:tr>
      <w:tr>
        <w:tc>
          <w:tcPr>
            <w:tcW w:type="dxa" w:w="2400"/>
            <w:tcMar>
              <w:top w:type="dxa" w:w="80"/>
              <w:left w:type="dxa" w:w="100"/>
              <w:bottom w:type="dxa" w:w="80"/>
              <w:right w:type="dxa" w:w="100"/>
            </w:tcMar>
          </w:tcPr>
          <w:p>
            <w:r>
              <w:rPr>
                <w:rFonts w:ascii="Arial" w:cs="Arial" w:eastAsia="Arial" w:hAnsi="Arial"/>
                <w:b w:val="false"/>
                <w:bCs w:val="false"/>
                <w:sz w:val="20"/>
                <w:szCs w:val="20"/>
              </w:rPr>
              <w:t xml:space="preserve">Reproductibilité</w:t>
            </w:r>
          </w:p>
        </w:tc>
        <w:tc>
          <w:tcPr>
            <w:tcW w:type="dxa" w:w="3300"/>
            <w:tcMar>
              <w:top w:type="dxa" w:w="80"/>
              <w:left w:type="dxa" w:w="100"/>
              <w:bottom w:type="dxa" w:w="80"/>
              <w:right w:type="dxa" w:w="100"/>
            </w:tcMar>
          </w:tcPr>
          <w:p>
            <w:r>
              <w:rPr>
                <w:rFonts w:ascii="Arial" w:cs="Arial" w:eastAsia="Arial" w:hAnsi="Arial"/>
                <w:b w:val="false"/>
                <w:bCs w:val="false"/>
                <w:sz w:val="20"/>
                <w:szCs w:val="20"/>
              </w:rPr>
              <w:t xml:space="preserve">Bonne (schéma rejouable)</w:t>
            </w:r>
          </w:p>
        </w:tc>
        <w:tc>
          <w:tcPr>
            <w:tcW w:type="dxa" w:w="3300"/>
            <w:tcMar>
              <w:top w:type="dxa" w:w="80"/>
              <w:left w:type="dxa" w:w="100"/>
              <w:bottom w:type="dxa" w:w="80"/>
              <w:right w:type="dxa" w:w="100"/>
            </w:tcMar>
          </w:tcPr>
          <w:p>
            <w:r>
              <w:rPr>
                <w:rFonts w:ascii="Arial" w:cs="Arial" w:eastAsia="Arial" w:hAnsi="Arial"/>
                <w:b w:val="false"/>
                <w:bCs w:val="false"/>
                <w:sz w:val="20"/>
                <w:szCs w:val="20"/>
              </w:rPr>
              <w:t xml:space="preserve">Bonne, pensée pour la production</w:t>
            </w:r>
          </w:p>
        </w:tc>
      </w:tr>
      <w:tr>
        <w:tc>
          <w:tcPr>
            <w:tcW w:type="dxa" w:w="2400"/>
            <w:tcMar>
              <w:top w:type="dxa" w:w="80"/>
              <w:left w:type="dxa" w:w="100"/>
              <w:bottom w:type="dxa" w:w="80"/>
              <w:right w:type="dxa" w:w="100"/>
            </w:tcMar>
          </w:tcPr>
          <w:p>
            <w:r>
              <w:rPr>
                <w:rFonts w:ascii="Arial" w:cs="Arial" w:eastAsia="Arial" w:hAnsi="Arial"/>
                <w:b w:val="false"/>
                <w:bCs w:val="false"/>
                <w:sz w:val="20"/>
                <w:szCs w:val="20"/>
              </w:rPr>
              <w:t xml:space="preserve">Maintenabilité solo</w:t>
            </w:r>
          </w:p>
        </w:tc>
        <w:tc>
          <w:tcPr>
            <w:tcW w:type="dxa" w:w="3300"/>
            <w:tcMar>
              <w:top w:type="dxa" w:w="80"/>
              <w:left w:type="dxa" w:w="100"/>
              <w:bottom w:type="dxa" w:w="80"/>
              <w:right w:type="dxa" w:w="100"/>
            </w:tcMar>
          </w:tcPr>
          <w:p>
            <w:r>
              <w:rPr>
                <w:rFonts w:ascii="Arial" w:cs="Arial" w:eastAsia="Arial" w:hAnsi="Arial"/>
                <w:b w:val="false"/>
                <w:bCs w:val="false"/>
                <w:sz w:val="20"/>
                <w:szCs w:val="20"/>
              </w:rPr>
              <w:t xml:space="preserve">Très adaptée</w:t>
            </w:r>
          </w:p>
        </w:tc>
        <w:tc>
          <w:tcPr>
            <w:tcW w:type="dxa" w:w="3300"/>
            <w:tcMar>
              <w:top w:type="dxa" w:w="80"/>
              <w:left w:type="dxa" w:w="100"/>
              <w:bottom w:type="dxa" w:w="80"/>
              <w:right w:type="dxa" w:w="100"/>
            </w:tcMar>
          </w:tcPr>
          <w:p>
            <w:r>
              <w:rPr>
                <w:rFonts w:ascii="Arial" w:cs="Arial" w:eastAsia="Arial" w:hAnsi="Arial"/>
                <w:b w:val="false"/>
                <w:bCs w:val="false"/>
                <w:sz w:val="20"/>
                <w:szCs w:val="20"/>
              </w:rPr>
              <w:t xml:space="preserve">Sur-dimensionnée pour un usage individuel</w:t>
            </w:r>
          </w:p>
        </w:tc>
      </w:tr>
      <w:tr>
        <w:tc>
          <w:tcPr>
            <w:tcW w:type="dxa" w:w="2400"/>
            <w:tcMar>
              <w:top w:type="dxa" w:w="80"/>
              <w:left w:type="dxa" w:w="100"/>
              <w:bottom w:type="dxa" w:w="80"/>
              <w:right w:type="dxa" w:w="100"/>
            </w:tcMar>
          </w:tcPr>
          <w:p>
            <w:r>
              <w:rPr>
                <w:rFonts w:ascii="Arial" w:cs="Arial" w:eastAsia="Arial" w:hAnsi="Arial"/>
                <w:b w:val="false"/>
                <w:bCs w:val="false"/>
                <w:sz w:val="20"/>
                <w:szCs w:val="20"/>
              </w:rPr>
              <w:t xml:space="preserve">Documentation générée</w:t>
            </w:r>
          </w:p>
        </w:tc>
        <w:tc>
          <w:tcPr>
            <w:tcW w:type="dxa" w:w="3300"/>
            <w:tcMar>
              <w:top w:type="dxa" w:w="80"/>
              <w:left w:type="dxa" w:w="100"/>
              <w:bottom w:type="dxa" w:w="80"/>
              <w:right w:type="dxa" w:w="100"/>
            </w:tcMar>
          </w:tcPr>
          <w:p>
            <w:r>
              <w:rPr>
                <w:rFonts w:ascii="Arial" w:cs="Arial" w:eastAsia="Arial" w:hAnsi="Arial"/>
                <w:b w:val="false"/>
                <w:bCs w:val="false"/>
                <w:sz w:val="20"/>
                <w:szCs w:val="20"/>
              </w:rPr>
              <w:t xml:space="preserve">Non native</w:t>
            </w:r>
          </w:p>
        </w:tc>
        <w:tc>
          <w:tcPr>
            <w:tcW w:type="dxa" w:w="3300"/>
            <w:tcMar>
              <w:top w:type="dxa" w:w="80"/>
              <w:left w:type="dxa" w:w="100"/>
              <w:bottom w:type="dxa" w:w="80"/>
              <w:right w:type="dxa" w:w="100"/>
            </w:tcMar>
          </w:tcPr>
          <w:p>
            <w:r>
              <w:rPr>
                <w:rFonts w:ascii="Arial" w:cs="Arial" w:eastAsia="Arial" w:hAnsi="Arial"/>
                <w:b w:val="false"/>
                <w:bCs w:val="false"/>
                <w:sz w:val="20"/>
                <w:szCs w:val="20"/>
              </w:rPr>
              <w:t xml:space="preserve">Data Docs HTML automatiques</w:t>
            </w:r>
          </w:p>
        </w:tc>
      </w:tr>
    </w:tbl>
    <w:p>
      <w:pPr>
        <w:spacing w:after="100"/>
      </w:pPr>
    </w:p>
    <w:p>
      <w:pPr>
        <w:spacing w:after="160"/>
      </w:pPr>
      <w:r>
        <w:rPr>
          <w:rFonts w:ascii="Arial" w:cs="Arial" w:eastAsia="Arial" w:hAnsi="Arial"/>
          <w:sz w:val="22"/>
          <w:szCs w:val="22"/>
        </w:rPr>
        <w:t xml:space="preserve">Cette veille documentaire confirme et complète le test réalisé en conditions réelles sur les données du projet (document principal, §3) : les deux outils sont matures et bien documentés, mais leurs philosophies divergent — Pandera vise la simplicité et l'intégration à un pipeline Python existant, Great Expectations vise la gouvernance et la communication autour de la qualité des données à l'échelle d'une équipe.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Arial" w:cs="Arial" w:eastAsia="Arial" w:hAnsi="Arial"/>
      <w:b/>
      <w:bCs/>
      <w:color w:val="1F6FB2"/>
      <w:sz w:val="32"/>
      <w:szCs w:val="32"/>
    </w:rPr>
  </w:style>
  <w:style w:type="paragraph" w:styleId="Heading2">
    <w:name w:val="Heading 2"/>
    <w:basedOn w:val="Normal"/>
    <w:next w:val="Normal"/>
    <w:qFormat/>
    <w:pPr>
      <w:spacing w:after="150" w:before="300"/>
    </w:pPr>
    <w:rPr>
      <w:rFonts w:ascii="Arial" w:cs="Arial" w:eastAsia="Arial" w:hAnsi="Arial"/>
      <w:b/>
      <w:bCs/>
      <w:color w:val="1A1A1A"/>
      <w:sz w:val="26"/>
      <w:szCs w:val="26"/>
    </w:rPr>
  </w:style>
  <w:style w:type="paragraph" w:styleId="Heading3">
    <w:name w:val="Heading 3"/>
    <w:basedOn w:val="Normal"/>
    <w:next w:val="Normal"/>
    <w:qFormat/>
    <w:pPr>
      <w:spacing w:after="100" w:before="200"/>
    </w:pPr>
    <w:rPr>
      <w:rFonts w:ascii="Arial" w:cs="Arial" w:eastAsia="Arial" w:hAnsi="Arial"/>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iqxlr9fnejlj61jpgyxn" Type="http://schemas.openxmlformats.org/officeDocument/2006/relationships/hyperlink" Target="https://pandera.readthedocs.io/" TargetMode="External"/><Relationship Id="rId8n-mmprlsrv9vddrp5s86" Type="http://schemas.openxmlformats.org/officeDocument/2006/relationships/hyperlink" Target="https://pandera.readthedocs.io/en/stable/dtype_validation.html" TargetMode="External"/><Relationship Id="rIdm07pmmud_ymmvnusuvgxd" Type="http://schemas.openxmlformats.org/officeDocument/2006/relationships/hyperlink" Target="https://docs.greatexpectations.io/docs/core/introduction/gx_overview/" TargetMode="External"/><Relationship Id="rId0cacj3iyoibm9xaasw76n" Type="http://schemas.openxmlformats.org/officeDocument/2006/relationships/hyperlink" Target="https://docs.greatexpectations.io/docs/core/configure_project_settings/configure_data_docs/" TargetMode="External"/><Relationship Id="rIdleqmkpqxtbx7yrnrvomqg" Type="http://schemas.openxmlformats.org/officeDocument/2006/relationships/hyperlink" Target="https://endjin.com/blog/a-look-into-pandera-and-great-expectations-for-data-validation" TargetMode="External"/><Relationship Id="rIdxy-d8mfdsvs4ljrxdbjvl" Type="http://schemas.openxmlformats.org/officeDocument/2006/relationships/hyperlink" Target="https://www.kdnuggets.com/clean-and-validate-your-data-using-pandera" TargetMode="External"/><Relationship Id="rIdlyh9l0nci7-46t54ohfvo" Type="http://schemas.openxmlformats.org/officeDocument/2006/relationships/hyperlink" Target="https://dzone.com/articles/pandera-open-source-data-validation-framework"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2026-08-11T14:11:13.826Z</dcterms:created>
  <dcterms:modified xsi:type="dcterms:W3CDTF">2026-08-11T14:11:13.849Z</dcterms:modified>
</cp:coreProperties>
</file>

<file path=docProps/custom.xml><?xml version="1.0" encoding="utf-8"?>
<Properties xmlns="http://schemas.openxmlformats.org/officeDocument/2006/custom-properties" xmlns:vt="http://schemas.openxmlformats.org/officeDocument/2006/docPropsVTypes"/>
</file>