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undergraduate theses generated within the CCSICT department.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will be limited to fifty (50) thesis documents obtained from the CCSICT library, focusing only on selected undergraduate studies. This sample size was purposely determined based on the volume of accessible and complete undergraduate manuscripts currently available in the CCSICT archives, ensuring proportional representation across the department's academic tracks.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undergraduate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3AF89FF1"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6F1CA735" w14:textId="77777777" w:rsidR="00114F3B" w:rsidRDefault="00114F3B">
      <w:pPr>
        <w:spacing w:before="240" w:line="480" w:lineRule="auto"/>
        <w:jc w:val="both"/>
        <w:rPr>
          <w:rFonts w:ascii="Times New Roman" w:eastAsia="Times New Roman" w:hAnsi="Times New Roman" w:cs="Times New Roman"/>
          <w:b/>
          <w:bCs/>
          <w:sz w:val="24"/>
          <w:szCs w:val="24"/>
        </w:rPr>
      </w:pPr>
    </w:p>
    <w:p w14:paraId="3947811C" w14:textId="77777777" w:rsidR="00114F3B" w:rsidRDefault="00114F3B">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30D589" w14:textId="77777777" w:rsidR="00114F3B" w:rsidRDefault="00114F3B">
      <w:pPr>
        <w:pStyle w:val="Heading1"/>
        <w:keepNext w:val="0"/>
        <w:keepLines w:val="0"/>
        <w:spacing w:before="0" w:after="0" w:line="480" w:lineRule="auto"/>
        <w:rPr>
          <w:rFonts w:ascii="Times New Roman" w:eastAsia="Times New Roman" w:hAnsi="Times New Roman" w:cs="Times New Roman"/>
          <w:b/>
          <w:bCs/>
          <w:sz w:val="24"/>
          <w:szCs w:val="24"/>
        </w:rPr>
      </w:pPr>
    </w:p>
    <w:p w14:paraId="00A8370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3AEC35F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1D5A99E"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1EA5AFF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8EB21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07B972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071A059"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53A462D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BD812A"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B14C71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A7831AF"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2805A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8122FF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516716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77C8B62" w14:textId="1CC678D6" w:rsidR="00114F3B" w:rsidRDefault="00000000">
      <w:pPr>
        <w:pStyle w:val="Heading1"/>
        <w:keepNext w:val="0"/>
        <w:keepLines w:val="0"/>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2 (models/gemini-embedding-2).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-519112</wp:posOffset>
            </wp:positionH>
            <wp:positionV relativeFrom="paragraph">
              <wp:posOffset>523875</wp:posOffset>
            </wp:positionV>
            <wp:extent cx="6838950" cy="3542556"/>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838950" cy="3542556"/>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-600074</wp:posOffset>
            </wp:positionH>
            <wp:positionV relativeFrom="paragraph">
              <wp:posOffset>514350</wp:posOffset>
            </wp:positionV>
            <wp:extent cx="6929438" cy="4362264"/>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929438" cy="4362264"/>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09B892E4"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08E7ED41" w14:textId="77777777" w:rsidR="00114F3B" w:rsidRDefault="00114F3B">
      <w:pPr>
        <w:spacing w:before="240" w:line="480" w:lineRule="auto"/>
        <w:jc w:val="both"/>
        <w:rPr>
          <w:rFonts w:ascii="Times New Roman" w:eastAsia="Times New Roman" w:hAnsi="Times New Roman" w:cs="Times New Roman"/>
          <w:b/>
          <w:bCs/>
          <w:sz w:val="24"/>
          <w:szCs w:val="24"/>
        </w:rPr>
      </w:pPr>
    </w:p>
    <w:p w14:paraId="44858179" w14:textId="77777777" w:rsidR="00114F3B" w:rsidRDefault="00114F3B">
      <w:pPr>
        <w:spacing w:line="480" w:lineRule="auto"/>
        <w:rPr>
          <w:rFonts w:ascii="Times New Roman" w:eastAsia="Times New Roman" w:hAnsi="Times New Roman" w:cs="Times New Roman"/>
          <w:b/>
          <w:bCs/>
          <w:sz w:val="24"/>
          <w:szCs w:val="24"/>
        </w:rPr>
      </w:pPr>
    </w:p>
    <w:p w14:paraId="50C4D4E6" w14:textId="77777777" w:rsidR="00114F3B" w:rsidRDefault="00114F3B">
      <w:pPr>
        <w:spacing w:line="480" w:lineRule="auto"/>
        <w:rPr>
          <w:rFonts w:ascii="Times New Roman" w:eastAsia="Times New Roman" w:hAnsi="Times New Roman" w:cs="Times New Roman"/>
          <w:b/>
          <w:bCs/>
          <w:sz w:val="24"/>
          <w:szCs w:val="24"/>
        </w:rPr>
      </w:pPr>
    </w:p>
    <w:p w14:paraId="2A286282"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 2</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models/gemini-embedding-2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test the system effectively, the researchers will use a laptop with specific hardware parts. These components are chosen to make sure the software runs smoothly and maintains a stable connection to the cloud-based AI services. The table below lists the primary hardware used in this study.</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data for this study will come directly from the local archives of the College of Computing Studies, Information and Communication Technology (CCSICT). The data will only include past undergraduate thesis projects from the department, using both physical hardbound copies and digital files.</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will utilize purposive sampling in selecting fifty (50) undergraduate thesis documents from the CCSICT archives. The selected dataset will include both physical manuscript copies and digital soft copies, ensuring representation across various academic tracks such as Data Mining, Web Development, and Network Security. This approach ensures that the evaluation covers diverse technical vocabularies relevant to the domain.</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before synthesizing a response.</w:t>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2,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-620549</wp:posOffset>
            </wp:positionH>
            <wp:positionV relativeFrom="paragraph">
              <wp:posOffset>504825</wp:posOffset>
            </wp:positionV>
            <wp:extent cx="7067550" cy="3559522"/>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7067550" cy="3559522"/>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 or </w:t>
      </w:r>
      <w:proofErr w:type="spellStart"/>
      <w:r>
        <w:rPr>
          <w:rFonts w:ascii="Times New Roman" w:eastAsia="Times New Roman" w:hAnsi="Times New Roman" w:cs="Times New Roman"/>
          <w:sz w:val="24"/>
          <w:szCs w:val="24"/>
        </w:rPr>
        <w:t>EasyOCR</w:t>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Crucially, before these chunks are embedded, Metadata Tagging will be applied. Each text chunk will be programmatically tagged with a JSON object containing its source document's Title, Author, Track, and Year. Finally, the Gemini Embedding 2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LLM's attention mechanism is mathematically strongest. Additionally, the pipeline will enforce a minimum cosine similarity threshold;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conduct novelty scanning, and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to quantitatively measure generation accuracy, the study will employ the Ragas (RAG Assessment) framework to mathematically evaluate the architecture's capacity to maximize factual grounding and minimize out-of-domain hallucinations, calculating automated reference-free scores for Faithfulness and Context Precision.</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memory leaks,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w:t>
      </w:r>
      <w:proofErr w:type="spellStart"/>
      <w:r>
        <w:rPr>
          <w:rFonts w:ascii="Times New Roman" w:eastAsia="Times New Roman" w:hAnsi="Times New Roman" w:cs="Times New Roman"/>
          <w:sz w:val="24"/>
          <w:szCs w:val="24"/>
        </w:rPr>
        <w:t>Pylint</w:t>
      </w:r>
      <w:proofErr w:type="spellEnd"/>
      <w:r>
        <w:rPr>
          <w:rFonts w:ascii="Times New Roman" w:eastAsia="Times New Roman" w:hAnsi="Times New Roman" w:cs="Times New Roman"/>
          <w:sz w:val="24"/>
          <w:szCs w:val="24"/>
        </w:rPr>
        <w:t xml:space="preserve"> for Python and </w:t>
      </w:r>
      <w:proofErr w:type="spellStart"/>
      <w:r>
        <w:rPr>
          <w:rFonts w:ascii="Times New Roman" w:eastAsia="Times New Roman" w:hAnsi="Times New Roman" w:cs="Times New Roman"/>
          <w:sz w:val="24"/>
          <w:szCs w:val="24"/>
        </w:rPr>
        <w:t>ESLint</w:t>
      </w:r>
      <w:proofErr w:type="spellEnd"/>
      <w:r>
        <w:rPr>
          <w:rFonts w:ascii="Times New Roman" w:eastAsia="Times New Roman" w:hAnsi="Times New Roman" w:cs="Times New Roman"/>
          <w:sz w:val="24"/>
          <w:szCs w:val="24"/>
        </w:rPr>
        <w:t xml:space="preserve"> for React to ensure code modularity, adherence to standards, and reduced technical debt.</w:t>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Faithfulness and Context Precision.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First, the researchers will obtain formal written approval from the CCSICT Department Chair and the University Librarian prior to accessing and digitizing any thesis manuscript from the college archives.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Second, the study will comply with Republic Act No. 10173, or the Data Privacy Act of 2012, by ensuring that no personally identifiable information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workflow will begin at the User Interface Layer, which will accommodate distinct user roles.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2,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-695324</wp:posOffset>
            </wp:positionH>
            <wp:positionV relativeFrom="paragraph">
              <wp:posOffset>609600</wp:posOffset>
            </wp:positionV>
            <wp:extent cx="7015163" cy="3791460"/>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7015163" cy="3791460"/>
                    </a:xfrm>
                    <a:prstGeom prst="rect">
                      <a:avLst/>
                    </a:prstGeom>
                    <a:ln/>
                  </pic:spPr>
                </pic:pic>
              </a:graphicData>
            </a:graphic>
          </wp:anchor>
        </w:drawing>
      </w:r>
    </w:p>
    <w:p w14:paraId="460B67F4" w14:textId="77777777" w:rsidR="00114F3B" w:rsidRDefault="00114F3B">
      <w:pPr>
        <w:spacing w:before="240" w:line="480" w:lineRule="auto"/>
        <w:jc w:val="both"/>
        <w:rPr>
          <w:rFonts w:ascii="Times New Roman" w:eastAsia="Times New Roman" w:hAnsi="Times New Roman" w:cs="Times New Roman"/>
          <w:b/>
          <w:bCs/>
          <w:sz w:val="24"/>
          <w:szCs w:val="24"/>
        </w:rPr>
      </w:pPr>
    </w:p>
    <w:p w14:paraId="3E9FD960" w14:textId="77777777" w:rsidR="00114F3B" w:rsidRDefault="00114F3B">
      <w:pPr>
        <w:spacing w:before="240" w:line="480" w:lineRule="auto"/>
        <w:jc w:val="both"/>
        <w:rPr>
          <w:rFonts w:ascii="Times New Roman" w:eastAsia="Times New Roman" w:hAnsi="Times New Roman" w:cs="Times New Roman"/>
          <w:b/>
          <w:bCs/>
          <w:sz w:val="24"/>
          <w:szCs w:val="24"/>
        </w:rPr>
      </w:pPr>
    </w:p>
    <w:p w14:paraId="15631AA2" w14:textId="5248136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R. V. K., et al.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C. J. O., et al. (2023). Exploring students' utilization of Online Public Access Catalog in the learning commons. </w:t>
      </w:r>
      <w:r>
        <w:rPr>
          <w:rFonts w:ascii="Times New Roman" w:eastAsia="Times New Roman" w:hAnsi="Times New Roman" w:cs="Times New Roman"/>
          <w:i/>
          <w:iCs/>
          <w:sz w:val="24"/>
          <w:szCs w:val="24"/>
        </w:rPr>
        <w:t>International Journal of Science and Advanced Information Technology, 12</w:t>
      </w:r>
      <w:r>
        <w:rPr>
          <w:rFonts w:ascii="Times New Roman" w:eastAsia="Times New Roman" w:hAnsi="Times New Roman" w:cs="Times New Roman"/>
          <w:sz w:val="24"/>
          <w:szCs w:val="24"/>
        </w:rPr>
        <w:t>(4).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Y., Xiong, Y., Dibia, V., et al.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et al.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Proceedings of the 2025 IEEE/ACM International Symposium on Cluster, Cloud and Internet Computing (</w:t>
      </w:r>
      <w:proofErr w:type="spellStart"/>
      <w:r>
        <w:rPr>
          <w:rFonts w:ascii="Times New Roman" w:eastAsia="Times New Roman" w:hAnsi="Times New Roman" w:cs="Times New Roman"/>
          <w:i/>
          <w:iCs/>
          <w:sz w:val="24"/>
          <w:szCs w:val="24"/>
        </w:rPr>
        <w:t>CCGrid</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https://doi.org/10.1109/ccgrid64434.2025.00035</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Wong, K., et al.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09/ccgrid64434.2025.00035"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