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03AD" w14:textId="77777777" w:rsidR="00114F3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Centralized AI-Powered Thesis Library Using Retrieval-Augmented Generation</w:t>
      </w:r>
    </w:p>
    <w:p w14:paraId="4120EC13"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w:t>
      </w:r>
    </w:p>
    <w:p w14:paraId="270D61DB" w14:textId="77777777" w:rsidR="00114F3B" w:rsidRDefault="00114F3B">
      <w:pPr>
        <w:spacing w:line="480" w:lineRule="auto"/>
        <w:ind w:left="360"/>
        <w:jc w:val="center"/>
        <w:rPr>
          <w:rFonts w:ascii="Times New Roman" w:eastAsia="Times New Roman" w:hAnsi="Times New Roman" w:cs="Times New Roman"/>
          <w:sz w:val="24"/>
          <w:szCs w:val="24"/>
        </w:rPr>
      </w:pPr>
    </w:p>
    <w:p w14:paraId="476FD6F0" w14:textId="77777777" w:rsidR="00114F3B" w:rsidRDefault="00114F3B">
      <w:pPr>
        <w:spacing w:line="480" w:lineRule="auto"/>
        <w:ind w:left="360"/>
        <w:jc w:val="center"/>
        <w:rPr>
          <w:rFonts w:ascii="Times New Roman" w:eastAsia="Times New Roman" w:hAnsi="Times New Roman" w:cs="Times New Roman"/>
          <w:sz w:val="24"/>
          <w:szCs w:val="24"/>
        </w:rPr>
      </w:pPr>
    </w:p>
    <w:p w14:paraId="2895A0DC"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Thesis </w:t>
      </w:r>
    </w:p>
    <w:p w14:paraId="0F48F270"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7C897658"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Computing Studies, Information and Communication Technology</w:t>
      </w:r>
    </w:p>
    <w:p w14:paraId="408E0EFF" w14:textId="77777777" w:rsidR="00114F3B" w:rsidRDefault="00000000">
      <w:pPr>
        <w:spacing w:line="480" w:lineRule="auto"/>
        <w:ind w:left="35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Isabela State University</w:t>
      </w:r>
    </w:p>
    <w:p w14:paraId="24E21E63"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Echague, Isabela</w:t>
      </w:r>
    </w:p>
    <w:p w14:paraId="11B475F6" w14:textId="77777777" w:rsidR="00114F3B" w:rsidRDefault="00114F3B">
      <w:pPr>
        <w:spacing w:line="480" w:lineRule="auto"/>
        <w:ind w:left="360"/>
        <w:jc w:val="center"/>
        <w:rPr>
          <w:rFonts w:ascii="Times New Roman" w:eastAsia="Times New Roman" w:hAnsi="Times New Roman" w:cs="Times New Roman"/>
          <w:sz w:val="24"/>
          <w:szCs w:val="24"/>
        </w:rPr>
      </w:pPr>
    </w:p>
    <w:p w14:paraId="531E2878"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w:t>
      </w:r>
    </w:p>
    <w:p w14:paraId="47037616" w14:textId="77777777" w:rsidR="00114F3B" w:rsidRDefault="00114F3B">
      <w:pPr>
        <w:spacing w:line="480" w:lineRule="auto"/>
        <w:ind w:left="357"/>
        <w:jc w:val="center"/>
        <w:rPr>
          <w:rFonts w:ascii="Times New Roman" w:eastAsia="Times New Roman" w:hAnsi="Times New Roman" w:cs="Times New Roman"/>
          <w:sz w:val="24"/>
          <w:szCs w:val="24"/>
        </w:rPr>
      </w:pPr>
    </w:p>
    <w:p w14:paraId="6AD5F272" w14:textId="77777777" w:rsidR="00114F3B" w:rsidRDefault="00114F3B">
      <w:pPr>
        <w:spacing w:line="480" w:lineRule="auto"/>
        <w:ind w:left="357"/>
        <w:jc w:val="center"/>
        <w:rPr>
          <w:rFonts w:ascii="Times New Roman" w:eastAsia="Times New Roman" w:hAnsi="Times New Roman" w:cs="Times New Roman"/>
          <w:sz w:val="24"/>
          <w:szCs w:val="24"/>
        </w:rPr>
      </w:pPr>
    </w:p>
    <w:p w14:paraId="2CC2F20E"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DCCD9A1"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Requirements for the Degree of</w:t>
      </w:r>
    </w:p>
    <w:p w14:paraId="46C5C776"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 (BSCS)</w:t>
      </w:r>
    </w:p>
    <w:p w14:paraId="2C81C8C5"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Mining Track</w:t>
      </w:r>
    </w:p>
    <w:p w14:paraId="09FFEB50" w14:textId="77777777" w:rsidR="00114F3B" w:rsidRDefault="00114F3B">
      <w:pPr>
        <w:spacing w:line="480" w:lineRule="auto"/>
        <w:rPr>
          <w:rFonts w:ascii="Times New Roman" w:eastAsia="Times New Roman" w:hAnsi="Times New Roman" w:cs="Times New Roman"/>
          <w:sz w:val="24"/>
          <w:szCs w:val="24"/>
        </w:rPr>
      </w:pPr>
    </w:p>
    <w:p w14:paraId="39F302F3"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w:t>
      </w:r>
    </w:p>
    <w:p w14:paraId="3AC50888" w14:textId="77777777" w:rsidR="00114F3B" w:rsidRDefault="00114F3B">
      <w:pPr>
        <w:spacing w:line="480" w:lineRule="auto"/>
        <w:rPr>
          <w:rFonts w:ascii="Times New Roman" w:eastAsia="Times New Roman" w:hAnsi="Times New Roman" w:cs="Times New Roman"/>
          <w:sz w:val="24"/>
          <w:szCs w:val="24"/>
        </w:rPr>
      </w:pPr>
    </w:p>
    <w:p w14:paraId="33E52498"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78B9B73A"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Ahron John F. </w:t>
      </w:r>
      <w:proofErr w:type="spellStart"/>
      <w:r>
        <w:rPr>
          <w:rFonts w:ascii="Times New Roman" w:eastAsia="Times New Roman" w:hAnsi="Times New Roman" w:cs="Times New Roman"/>
          <w:sz w:val="24"/>
          <w:szCs w:val="24"/>
        </w:rPr>
        <w:t>Barlis</w:t>
      </w:r>
      <w:proofErr w:type="spellEnd"/>
    </w:p>
    <w:p w14:paraId="07B72E60" w14:textId="77777777" w:rsidR="00114F3B" w:rsidRDefault="00000000">
      <w:pPr>
        <w:spacing w:line="480" w:lineRule="auto"/>
        <w:ind w:left="357"/>
        <w:jc w:val="center"/>
        <w:rPr>
          <w:rFonts w:ascii="Times New Roman" w:eastAsia="Times New Roman" w:hAnsi="Times New Roman" w:cs="Times New Roman"/>
          <w:sz w:val="24"/>
          <w:szCs w:val="24"/>
        </w:rPr>
      </w:pPr>
      <w:bookmarkStart w:id="0" w:name="_heading=h.337svbaaohxp" w:colFirst="0" w:colLast="0"/>
      <w:bookmarkEnd w:id="0"/>
      <w:r>
        <w:rPr>
          <w:rFonts w:ascii="Times New Roman" w:eastAsia="Times New Roman" w:hAnsi="Times New Roman" w:cs="Times New Roman"/>
          <w:sz w:val="24"/>
          <w:szCs w:val="24"/>
        </w:rPr>
        <w:t>Carlo Rossi P. Gallardo</w:t>
      </w:r>
    </w:p>
    <w:p w14:paraId="197AC78F" w14:textId="77777777" w:rsidR="00114F3B" w:rsidRDefault="00114F3B">
      <w:pPr>
        <w:spacing w:line="480" w:lineRule="auto"/>
        <w:ind w:left="357"/>
        <w:jc w:val="center"/>
        <w:rPr>
          <w:rFonts w:ascii="Times New Roman" w:eastAsia="Times New Roman" w:hAnsi="Times New Roman" w:cs="Times New Roman"/>
          <w:sz w:val="24"/>
          <w:szCs w:val="24"/>
        </w:rPr>
      </w:pPr>
      <w:bookmarkStart w:id="1" w:name="_heading=h.w8idcrzc8k3r" w:colFirst="0" w:colLast="0"/>
      <w:bookmarkEnd w:id="1"/>
    </w:p>
    <w:p w14:paraId="164672A6" w14:textId="77777777" w:rsidR="00114F3B" w:rsidRDefault="00000000">
      <w:pPr>
        <w:pStyle w:val="Title"/>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27A8F88A" w14:textId="77777777" w:rsidR="00114F3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18537C6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 Background of the Study</w:t>
      </w:r>
    </w:p>
    <w:p w14:paraId="55D7828F"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Isabela State University, specifically within the College of Computing Studies, Information and Communication Technology (CCSICT), students rely on manual navigation of digital soft copies and physical hardbound materials in the college library. Current traditional methods involve rigid keyword-based systems that depend solely on the abstract section of a study, failing to capture the full semantic context and technical depth of the research.</w:t>
      </w:r>
    </w:p>
    <w:p w14:paraId="47B88250"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reliance on manual browsing and abstract only searching leads to inefficient literature reviews and a high risk of unintentional topic duplication. While students may attempt to use general Large Language Models (LLMs) to improve synthesis, these public models lack access to CCSICT’s private repository. Without access to localized data, standard LLMs are prone to hallucinations, generating false citations instead of providing verifiable local studies. Research in intelligent archiving (Custer &amp; Sethi, 2017) highlights that static repositories often become “data graveyards” when they lack interactive retrieval mechanisms.</w:t>
      </w:r>
    </w:p>
    <w:p w14:paraId="0C6C132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data mining perspective, extracting value from unstructured thesis manuscripts requires advanced text-mining methodologies. Classical data mining strictly relies on structured, tabular datasets, which fail to capture the semantic depth of academic research. However, this study utilizes embedding models to perform Unstructured Text Mining. By converting raw academic text into high dimensional mathematical vectors, the system computationally mines semantic relationships and contextual proximity utilizing mathematical distance metrics like Cosine Similarity, which traditional keyword mining algorithms cannot achieve.</w:t>
      </w:r>
    </w:p>
    <w:p w14:paraId="29277BB6"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To address this gap, the study implements a Retrieval-Augmented Generation (RAG) architecture using the </w:t>
      </w: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framework. The system utilizes </w:t>
      </w:r>
      <w:proofErr w:type="spellStart"/>
      <w:r>
        <w:rPr>
          <w:rFonts w:ascii="Times New Roman" w:eastAsia="Times New Roman" w:hAnsi="Times New Roman" w:cs="Times New Roman"/>
          <w:color w:val="000000"/>
          <w:sz w:val="24"/>
          <w:szCs w:val="24"/>
        </w:rPr>
        <w:t>LangChain’s</w:t>
      </w:r>
      <w:proofErr w:type="spellEnd"/>
      <w:r>
        <w:rPr>
          <w:rFonts w:ascii="Times New Roman" w:eastAsia="Times New Roman" w:hAnsi="Times New Roman" w:cs="Times New Roman"/>
          <w:color w:val="000000"/>
          <w:sz w:val="24"/>
          <w:szCs w:val="24"/>
        </w:rPr>
        <w:t xml:space="preserve"> document loaders to process digitized CCSICT theses, indexing the full text in a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vector database. </w:t>
      </w:r>
      <w:proofErr w:type="spellStart"/>
      <w:r>
        <w:rPr>
          <w:rFonts w:ascii="Times New Roman" w:eastAsia="Times New Roman" w:hAnsi="Times New Roman" w:cs="Times New Roman"/>
          <w:color w:val="000000"/>
          <w:sz w:val="24"/>
          <w:szCs w:val="24"/>
        </w:rPr>
        <w:t>LangChain’s</w:t>
      </w:r>
      <w:proofErr w:type="spellEnd"/>
      <w:r>
        <w:rPr>
          <w:rFonts w:ascii="Times New Roman" w:eastAsia="Times New Roman" w:hAnsi="Times New Roman" w:cs="Times New Roman"/>
          <w:color w:val="000000"/>
          <w:sz w:val="24"/>
          <w:szCs w:val="24"/>
        </w:rPr>
        <w:t xml:space="preserve"> orchestration then feeds relevant contextual data into a Large Language Model via the Gemini API. This closed-loop RAG implementation ensures that the AI generates responses grounded in verified institutional data (Lewis et al., 2020). By enabling semantic search across entire documents rather than relying solely on abstracts, the architecture also addresses the “Lost in the Middle” phenomenon (Liu et al., 2024), where critical information is often buried within lengthy documents.</w:t>
      </w:r>
    </w:p>
    <w:p w14:paraId="6AC1C5F6"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Web-Based Intelligent Thesis Library functions as an indirect knowledge retrieval system, enhancing the efficiency of RRL writing and enabling instant topic validation by providing AI-synthesized, citation-backed responses rather than requiring students to manually browse individual thesis documents. Researchers and faculty will benefit from automated redundancy checks, ensuring that new studies build upon existing work rather than duplicating it. The system’s processing speed will be monitored using </w:t>
      </w:r>
      <w:proofErr w:type="spellStart"/>
      <w:r>
        <w:rPr>
          <w:rFonts w:ascii="Times New Roman" w:eastAsia="Times New Roman" w:hAnsi="Times New Roman" w:cs="Times New Roman"/>
          <w:color w:val="000000"/>
          <w:sz w:val="24"/>
          <w:szCs w:val="24"/>
        </w:rPr>
        <w:t>LangSmith</w:t>
      </w:r>
      <w:proofErr w:type="spellEnd"/>
      <w:r>
        <w:rPr>
          <w:rFonts w:ascii="Times New Roman" w:eastAsia="Times New Roman" w:hAnsi="Times New Roman" w:cs="Times New Roman"/>
          <w:color w:val="000000"/>
          <w:sz w:val="24"/>
          <w:szCs w:val="24"/>
        </w:rPr>
        <w:t xml:space="preserve"> to trace latency, and its response accuracy will be evaluated using the Ragas framework (Es et al., 2024) to verify that the AI demonstrably minimizes hallucinations, thereby maintaining the integrity of all retrieved institutional data.</w:t>
      </w:r>
    </w:p>
    <w:p w14:paraId="26D46E3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1.2 Objectives of the Study</w:t>
      </w:r>
    </w:p>
    <w:p w14:paraId="3E94495C"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General Objective</w:t>
      </w:r>
    </w:p>
    <w:p w14:paraId="59CF160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implement a Centralized AI-Powered Thesis Library using a Retrieval-Augmented Generation (RAG) AI architecture to solve the semantic gap and improve research retrieval performance in terms of time and management for the College of Computing Studies, Information and Communication Technology (CCSICT).</w:t>
      </w:r>
    </w:p>
    <w:p w14:paraId="788DE36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lastRenderedPageBreak/>
        <w:t>Specific Objectives</w:t>
      </w:r>
    </w:p>
    <w:p w14:paraId="765B1D0C"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aims to:</w:t>
      </w:r>
    </w:p>
    <w:p w14:paraId="20763BCA"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knowledge retrieval model that integrates Retrieval-Augmented Generation (RAG) and a Large Language Model (LLM) using the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framework.</w:t>
      </w:r>
    </w:p>
    <w:p w14:paraId="72E0738B"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the performance of the baseline model, or Standard LLM, versus the proposed model (RAG + LLM) strictly in terms of factual accuracy and hallucination mitigation using real institutional queries. </w:t>
      </w:r>
    </w:p>
    <w:p w14:paraId="27BDA06C"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developed model (LLM + RAG) for the development of the Centralized AI-Powered Thesis Library System.</w:t>
      </w:r>
    </w:p>
    <w:p w14:paraId="30C00BB4"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 the system's internal quality using the ISO/IEC 25010 software product quality standard through automated software testing tools based on the following criteria: </w:t>
      </w:r>
    </w:p>
    <w:p w14:paraId="528DC245"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4.1 Functional Suitability</w:t>
      </w:r>
    </w:p>
    <w:p w14:paraId="2362AEA7"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4.2 Performance Efficiency</w:t>
      </w:r>
    </w:p>
    <w:p w14:paraId="1BD3117D"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4.3 Reliability</w:t>
      </w:r>
    </w:p>
    <w:p w14:paraId="0B52B391"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4.4 Maintainability</w:t>
      </w:r>
    </w:p>
    <w:p w14:paraId="7EBF7C44"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Scope and Delimitation</w:t>
      </w:r>
    </w:p>
    <w:p w14:paraId="130F3E8F"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primary focus of this study is the engineering and comparative evaluation of a knowledge retrieval model using Retrieval-Augmented Generation (RAG) for the College of Computing Studies, Information and Communication Technology (CCSICT) at Isabela State University, Echague Campus.</w:t>
      </w:r>
    </w:p>
    <w:p w14:paraId="4ADF9F2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technical and experimental scope of this research includes the following parameters:</w:t>
      </w:r>
    </w:p>
    <w:p w14:paraId="7FEAA07E"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Digitization</w:t>
      </w:r>
      <w:r>
        <w:rPr>
          <w:rFonts w:ascii="Times New Roman" w:eastAsia="Times New Roman" w:hAnsi="Times New Roman" w:cs="Times New Roman"/>
          <w:b/>
          <w:bCs/>
          <w:i/>
          <w:iCs/>
          <w:sz w:val="24"/>
          <w:szCs w:val="24"/>
        </w:rPr>
        <w:t>:</w:t>
      </w:r>
      <w:r>
        <w:rPr>
          <w:rFonts w:ascii="Times New Roman" w:eastAsia="Times New Roman" w:hAnsi="Times New Roman" w:cs="Times New Roman"/>
          <w:sz w:val="24"/>
          <w:szCs w:val="24"/>
        </w:rPr>
        <w:t xml:space="preserve"> The study will involve the conversion of physical hardbound copies and unstructured digital softcopies from the CCSICT archives into searchable PDF formats suitable for semantic indexing.</w:t>
      </w:r>
    </w:p>
    <w:p w14:paraId="671BFA7B"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Architecture:</w:t>
      </w:r>
      <w:r>
        <w:rPr>
          <w:rFonts w:ascii="Times New Roman" w:eastAsia="Times New Roman" w:hAnsi="Times New Roman" w:cs="Times New Roman"/>
          <w:sz w:val="24"/>
          <w:szCs w:val="24"/>
        </w:rPr>
        <w:t xml:space="preserve"> The system will utilize the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framework as the primary orchestration layer. Gemini will provide the embeddings model to process the documents, and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will serve as the vector database for document chunking and semantic indexing. The Gemini API will provide the Large Language Model (LLM) for text synthesis.</w:t>
      </w:r>
    </w:p>
    <w:p w14:paraId="37653280"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Experimental Testing:</w:t>
      </w:r>
      <w:r>
        <w:rPr>
          <w:rFonts w:ascii="Times New Roman" w:eastAsia="Times New Roman" w:hAnsi="Times New Roman" w:cs="Times New Roman"/>
          <w:sz w:val="24"/>
          <w:szCs w:val="24"/>
        </w:rPr>
        <w:t xml:space="preserve"> Execution of a quantitative comparative test to measure and evaluate retrieval performance specifically calculated in terms of factual accuracy and hallucination mitigation between a standard baseline LLM and the proposed RAG + LLM architecture.</w:t>
      </w:r>
    </w:p>
    <w:p w14:paraId="404F2EF8"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Integration and Evaluation:</w:t>
      </w:r>
      <w:r>
        <w:rPr>
          <w:rFonts w:ascii="Times New Roman" w:eastAsia="Times New Roman" w:hAnsi="Times New Roman" w:cs="Times New Roman"/>
          <w:sz w:val="24"/>
          <w:szCs w:val="24"/>
        </w:rPr>
        <w:t xml:space="preserve"> Integration of the finalized RAG model into a web-based Thesis Library System, followed by a purely technical evaluation using the ISO/IEC 25010 software product quality standard focusing strictly on internal quality characteristics: Functional Suitability, Performance Efficiency, Reliability, and Maintainability, executed through automated testing tools.</w:t>
      </w:r>
    </w:p>
    <w:p w14:paraId="38C9AB19" w14:textId="5039DF30" w:rsidR="00114F3B" w:rsidRPr="004E2056" w:rsidRDefault="004962A4" w:rsidP="004E2056">
      <w:pPr>
        <w:spacing w:before="240" w:line="480" w:lineRule="auto"/>
        <w:jc w:val="both"/>
        <w:rPr>
          <w:rFonts w:ascii="Times New Roman" w:eastAsia="Times New Roman" w:hAnsi="Times New Roman" w:cs="Times New Roman"/>
          <w:sz w:val="24"/>
          <w:szCs w:val="24"/>
        </w:rPr>
      </w:pPr>
      <w:r w:rsidRPr="004E2056">
        <w:rPr>
          <w:rFonts w:ascii="Times New Roman" w:eastAsia="Times New Roman" w:hAnsi="Times New Roman" w:cs="Times New Roman"/>
          <w:sz w:val="24"/>
          <w:szCs w:val="24"/>
        </w:rPr>
        <w:br/>
        <w:t xml:space="preserve">          To maintain technical feasibility, ensure controlled experimental variables, and uphold academic integrity, the researchers established the following delimitations:</w:t>
      </w:r>
    </w:p>
    <w:p w14:paraId="2BB5B11B"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Corpus Restrictions:</w:t>
      </w:r>
      <w:r>
        <w:rPr>
          <w:rFonts w:ascii="Times New Roman" w:eastAsia="Times New Roman" w:hAnsi="Times New Roman" w:cs="Times New Roman"/>
          <w:sz w:val="24"/>
          <w:szCs w:val="24"/>
        </w:rPr>
        <w:t xml:space="preserve"> The vector database is strictly limited to undergraduate theses generated within the CCSICT department. Research outputs from other colleges, external institutions, or other ISU campuses are entirely excluded from the dataset.</w:t>
      </w:r>
    </w:p>
    <w:p w14:paraId="7458162C"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External Knowledge Isolation:</w:t>
      </w:r>
      <w:r>
        <w:rPr>
          <w:rFonts w:ascii="Times New Roman" w:eastAsia="Times New Roman" w:hAnsi="Times New Roman" w:cs="Times New Roman"/>
          <w:sz w:val="24"/>
          <w:szCs w:val="24"/>
        </w:rPr>
        <w:t xml:space="preserve"> To actively prevent AI hallucinations and guarantee epistemic fidelity, the retrieval system is architecturally restricted from searching the open internet. It operates exclusively as a closed-domain retrieval assistant utilizing only local institutional data.</w:t>
      </w:r>
    </w:p>
    <w:p w14:paraId="72578D1E"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Content Generation Limits:</w:t>
      </w:r>
      <w:r>
        <w:rPr>
          <w:rFonts w:ascii="Times New Roman" w:eastAsia="Times New Roman" w:hAnsi="Times New Roman" w:cs="Times New Roman"/>
          <w:sz w:val="24"/>
          <w:szCs w:val="24"/>
        </w:rPr>
        <w:t xml:space="preserve"> The system is explicitly programmed to retrieve and synthesize existing archived data. It will not generate original research content, automatically write thesis chapters, or construct independent academic arguments.</w:t>
      </w:r>
    </w:p>
    <w:p w14:paraId="23CDB0E9"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Network Dependency:</w:t>
      </w:r>
      <w:r>
        <w:rPr>
          <w:rFonts w:ascii="Times New Roman" w:eastAsia="Times New Roman" w:hAnsi="Times New Roman" w:cs="Times New Roman"/>
          <w:sz w:val="24"/>
          <w:szCs w:val="24"/>
        </w:rPr>
        <w:t xml:space="preserve"> The proposed architecture requires a continuous, active internet connection to communicate with the cloud-based vector database and the LLM API. Consequently, offline functionality or local-network-only deployment is completely outside the parameters of this project.</w:t>
      </w:r>
    </w:p>
    <w:p w14:paraId="25089B9C" w14:textId="77777777" w:rsidR="00114F3B" w:rsidRDefault="00000000">
      <w:pPr>
        <w:numPr>
          <w:ilvl w:val="0"/>
          <w:numId w:val="4"/>
        </w:num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Dataset Volume Limit:</w:t>
      </w:r>
      <w:r>
        <w:rPr>
          <w:rFonts w:ascii="Times New Roman" w:eastAsia="Times New Roman" w:hAnsi="Times New Roman" w:cs="Times New Roman"/>
          <w:sz w:val="24"/>
          <w:szCs w:val="24"/>
        </w:rPr>
        <w:t xml:space="preserve"> The dataset will be limited to fifty (50) thesis documents obtained from the CCSICT library, focusing only on selected undergraduate studies. This sample size was purposely determined based on the volume of accessible and complete undergraduate manuscripts currently available in the CCSICT archives, ensuring proportional representation across the department's academic tracks. The study will not include the mass digitization or inclusion of the entire historical thesis archive; however, the system architecture is designed to scale incrementally as additional documents are digitized in future iterations.</w:t>
      </w:r>
    </w:p>
    <w:p w14:paraId="564675A7" w14:textId="77777777" w:rsidR="00114F3B" w:rsidRDefault="00000000">
      <w:pPr>
        <w:numPr>
          <w:ilvl w:val="0"/>
          <w:numId w:val="4"/>
        </w:num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lastRenderedPageBreak/>
        <w:t>Complex Data Extraction Limits: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Complex visual formats such as raw Entity-Relationship Diagrams (ERDs), unformatted code blocks, and unstructured image-based tables that fail layout-aware PDF parsing will not be semantically indexed to prevent vector space corruption. The system will primarily rely on the surrounding explanatory text for these visuals.</w:t>
      </w:r>
    </w:p>
    <w:p w14:paraId="681C7A88"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Indirect Access Model:</w:t>
      </w:r>
      <w:r>
        <w:rPr>
          <w:rFonts w:ascii="Times New Roman" w:eastAsia="Times New Roman" w:hAnsi="Times New Roman" w:cs="Times New Roman"/>
          <w:sz w:val="24"/>
          <w:szCs w:val="24"/>
        </w:rPr>
        <w:t xml:space="preserve"> The system is designed as an indirect thesis library. Users will not have the capability to directly view, download, or browse the full-text content of any thesis document stored in the database. The system exclusively provides AI-generated responses that synthesize and cite relevant information from the archived theses. This design preserves the intellectual property of the original thesis authors while still enabling knowledge discovery.</w:t>
      </w:r>
    </w:p>
    <w:p w14:paraId="24C8CADC" w14:textId="07749E8F" w:rsidR="00A56885" w:rsidRDefault="00A56885">
      <w:pPr>
        <w:numPr>
          <w:ilvl w:val="0"/>
          <w:numId w:val="4"/>
        </w:numPr>
        <w:spacing w:before="240" w:line="480" w:lineRule="auto"/>
        <w:jc w:val="both"/>
        <w:rPr>
          <w:rFonts w:ascii="Times New Roman" w:eastAsia="Times New Roman" w:hAnsi="Times New Roman" w:cs="Times New Roman"/>
          <w:sz w:val="24"/>
          <w:szCs w:val="24"/>
        </w:rPr>
      </w:pPr>
      <w:r w:rsidRPr="00A56885">
        <w:rPr>
          <w:rFonts w:ascii="Times New Roman" w:eastAsia="Times New Roman" w:hAnsi="Times New Roman" w:cs="Times New Roman"/>
          <w:i/>
          <w:iCs/>
          <w:sz w:val="24"/>
          <w:szCs w:val="24"/>
        </w:rPr>
        <w:t>Duplication Parameter Limit:</w:t>
      </w:r>
      <w:r w:rsidRPr="00A56885">
        <w:rPr>
          <w:rFonts w:ascii="Times New Roman" w:eastAsia="Times New Roman" w:hAnsi="Times New Roman" w:cs="Times New Roman"/>
          <w:sz w:val="24"/>
          <w:szCs w:val="24"/>
        </w:rPr>
        <w:t xml:space="preserve"> </w:t>
      </w:r>
      <w:r w:rsidR="004E2056" w:rsidRPr="004E2056">
        <w:rPr>
          <w:rFonts w:ascii="Times New Roman" w:eastAsia="Times New Roman" w:hAnsi="Times New Roman" w:cs="Times New Roman"/>
          <w:sz w:val="24"/>
          <w:szCs w:val="24"/>
        </w:rPr>
        <w:t>To prevent topic redundancy, the system evaluates new submissions against CCSICT archived data using an 85% cosine similarity threshold. If a proposed research query meets or exceeds this limit, the system flags it as a potential duplicate to encourage novelty. At this threshold, the integrated language model automatically alerts the user that the topic already exists and displays the exact similarity percentage. To provide immediate context for both the student and their faculty adviser, the model also generates a brief summary of the matched archival study.</w:t>
      </w:r>
    </w:p>
    <w:p w14:paraId="27959EB5"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Significance of the Study</w:t>
      </w:r>
    </w:p>
    <w:p w14:paraId="31F63D6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and outputs of this study will provide distinct advantages to the academic community of ISU Echague, particularly in modernizing local knowledge governance. The beneficiaries include:</w:t>
      </w:r>
    </w:p>
    <w:p w14:paraId="4E9F56D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Undergraduate Students.</w:t>
      </w:r>
      <w:r>
        <w:rPr>
          <w:rFonts w:ascii="Times New Roman" w:eastAsia="Times New Roman" w:hAnsi="Times New Roman" w:cs="Times New Roman"/>
          <w:sz w:val="24"/>
          <w:szCs w:val="24"/>
        </w:rPr>
        <w:t xml:space="preserve"> The proposed system will serve as an indirect retrieval assistant, reducing the time required to manually search through physical archives and unstructured digital files. Through semantic search capabilities, students will receive AI-synthesized responses that summarize relevant methodologies, related literature, and prior project scopes with traceable citations to the original thesis sources, without requiring direct access to complete thesis manuscripts. This improves the quality of literature reviews, minimizes unintentional topic duplication, and ensures access to reliable, locally sourced citations.</w:t>
      </w:r>
    </w:p>
    <w:p w14:paraId="51D43513"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Faculty Members and Research Advisers.</w:t>
      </w:r>
      <w:r>
        <w:rPr>
          <w:rFonts w:ascii="Times New Roman" w:eastAsia="Times New Roman" w:hAnsi="Times New Roman" w:cs="Times New Roman"/>
          <w:sz w:val="24"/>
          <w:szCs w:val="24"/>
        </w:rPr>
        <w:t xml:space="preserve"> For instructors, the system provides a data-driven tool to validate the novelty of proposed student topics. Advisers can query the database to cross-reference new proposals against years of accumulated CCSICT theses, streamlining the title defense and approval process.</w:t>
      </w:r>
    </w:p>
    <w:p w14:paraId="5504FD1B"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CCSICT Department.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 project establishes a structured, digitized knowledge base that preserves and protects the intellectual property of the college. By centralizing thesis data into a vector database accessible only through AI-mediated, indirect retrieval, the department transitions away from deteriorating physical copies and fragmented digital storage while ensuring that full thesis content is not directly exposed or downloadable, ensuring long-term institutional memory and compliance with modern data banking standards.</w:t>
      </w:r>
    </w:p>
    <w:p w14:paraId="3B6EE18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Future Researchers.</w:t>
      </w:r>
      <w:r>
        <w:rPr>
          <w:rFonts w:ascii="Times New Roman" w:eastAsia="Times New Roman" w:hAnsi="Times New Roman" w:cs="Times New Roman"/>
          <w:sz w:val="24"/>
          <w:szCs w:val="24"/>
        </w:rPr>
        <w:t xml:space="preserve"> Academically, this study contributes empirical data to the field of information retrieval. By executing a comparative factual accuracy test between a baseline LLM and a RAG-augmented LLM, future computer science researchers can utilize the results of this experiment as a technical baseline for scaling localized AI search engines in other academic settings.</w:t>
      </w:r>
    </w:p>
    <w:p w14:paraId="4CF9E780" w14:textId="77777777" w:rsidR="00B4628E" w:rsidRDefault="00B4628E">
      <w:pPr>
        <w:spacing w:before="240" w:line="480" w:lineRule="auto"/>
        <w:jc w:val="both"/>
        <w:rPr>
          <w:rFonts w:ascii="Times New Roman" w:eastAsia="Times New Roman" w:hAnsi="Times New Roman" w:cs="Times New Roman"/>
          <w:b/>
          <w:bCs/>
          <w:color w:val="000000"/>
          <w:sz w:val="24"/>
          <w:szCs w:val="24"/>
        </w:rPr>
      </w:pPr>
    </w:p>
    <w:p w14:paraId="27CEE763" w14:textId="254E6EB5" w:rsidR="00114F3B" w:rsidRDefault="00000000">
      <w:pPr>
        <w:spacing w:before="24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1.5 Definition of Terms</w:t>
      </w:r>
    </w:p>
    <w:p w14:paraId="478F97A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clarity and precision, the following terms are defined based on how they are used within the context of this study. These terms are categorically organized in logical progression, prioritizing the core system architecture down to the evaluation metrics:</w:t>
      </w:r>
    </w:p>
    <w:p w14:paraId="6AB9E7F0"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i/>
          <w:iCs/>
          <w:sz w:val="24"/>
          <w:szCs w:val="24"/>
        </w:rPr>
        <w:t>Centralized AI-Powered Thesis Library System.</w:t>
      </w:r>
      <w:r>
        <w:rPr>
          <w:rFonts w:ascii="Times New Roman" w:eastAsia="Times New Roman" w:hAnsi="Times New Roman" w:cs="Times New Roman"/>
          <w:sz w:val="24"/>
          <w:szCs w:val="24"/>
        </w:rPr>
        <w:t xml:space="preserve"> This refers to the final software application developed in this study. It is a web-based, AI-powered research assistant deployed for the CCSICT department that provides indirect access to undergraduate thesis knowledge through semantically grounded, citation-backed AI responses rather than direct document browsing or downloading.</w:t>
      </w:r>
    </w:p>
    <w:p w14:paraId="7903CF34"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The core computational architecture proposed in this research algorithmically restricts the AI synthesis engine to generate answers based exclusively on retrieved vector embeddings from the localized CCSICT thesis archives, thereby ensuring locally cited outputs.</w:t>
      </w:r>
    </w:p>
    <w:p w14:paraId="2231091C"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i/>
          <w:iCs/>
          <w:sz w:val="24"/>
          <w:szCs w:val="24"/>
        </w:rPr>
        <w:t>LangChain</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The primary open-source orchestration framework utilized in the system backend to programmatically link the user's search query,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vector database, and the Gemini LLM into a unified data retrieval pipeline.</w:t>
      </w:r>
    </w:p>
    <w:p w14:paraId="4E373D8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Unstructured Text Mining.</w:t>
      </w:r>
      <w:r>
        <w:rPr>
          <w:rFonts w:ascii="Times New Roman" w:eastAsia="Times New Roman" w:hAnsi="Times New Roman" w:cs="Times New Roman"/>
          <w:sz w:val="24"/>
          <w:szCs w:val="24"/>
        </w:rPr>
        <w:t xml:space="preserve"> The algorithmic process of extracting high-value semantic data and hidden patterns from unformatted text documents (PDFs) through natural language processing and vectorization.</w:t>
      </w:r>
    </w:p>
    <w:p w14:paraId="38405363"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Document Chunking.</w:t>
      </w:r>
      <w:r>
        <w:rPr>
          <w:rFonts w:ascii="Times New Roman" w:eastAsia="Times New Roman" w:hAnsi="Times New Roman" w:cs="Times New Roman"/>
          <w:sz w:val="24"/>
          <w:szCs w:val="24"/>
        </w:rPr>
        <w:t xml:space="preserve"> The programmatic process of dividing digitized CCSICT thesis manuscripts into smaller, discrete text blocks utilizing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to enable precise semantic indexing within the vector database.</w:t>
      </w:r>
    </w:p>
    <w:p w14:paraId="16CBD3A9"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Vector Database.</w:t>
      </w:r>
      <w:r>
        <w:rPr>
          <w:rFonts w:ascii="Times New Roman" w:eastAsia="Times New Roman" w:hAnsi="Times New Roman" w:cs="Times New Roman"/>
          <w:sz w:val="24"/>
          <w:szCs w:val="24"/>
        </w:rPr>
        <w:t xml:space="preserve"> The cloud infrastructure, specifically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with the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extension, engineered to store the high-dimensional mathematical representations (embeddings) of the digitized CCSICT thesis corpus, allowing for rapid similarity searches.</w:t>
      </w:r>
    </w:p>
    <w:p w14:paraId="2483B3F1"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Gap</w:t>
      </w:r>
      <w:r>
        <w:rPr>
          <w:rFonts w:ascii="Times New Roman" w:eastAsia="Times New Roman" w:hAnsi="Times New Roman" w:cs="Times New Roman"/>
          <w:sz w:val="24"/>
          <w:szCs w:val="24"/>
        </w:rPr>
        <w:t>. The limitation observed in traditional library catalog systems, such as OPAC, that rely strictly on literal keyword matching, which frequently fails to interpret the conceptual and contextual intent behind a student’s research query.</w:t>
      </w:r>
    </w:p>
    <w:p w14:paraId="6B9AEB35"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Search.</w:t>
      </w:r>
      <w:r>
        <w:rPr>
          <w:rFonts w:ascii="Times New Roman" w:eastAsia="Times New Roman" w:hAnsi="Times New Roman" w:cs="Times New Roman"/>
          <w:sz w:val="24"/>
          <w:szCs w:val="24"/>
        </w:rPr>
        <w:t xml:space="preserve"> The data retrieval technique that locates institutional information based on the mathematical proximity of their contextual meaning within a vector space, rather than relying on exact word matches.</w:t>
      </w:r>
    </w:p>
    <w:p w14:paraId="313E351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Cosine Similarity.</w:t>
      </w:r>
      <w:r>
        <w:rPr>
          <w:rFonts w:ascii="Times New Roman" w:eastAsia="Times New Roman" w:hAnsi="Times New Roman" w:cs="Times New Roman"/>
          <w:sz w:val="24"/>
          <w:szCs w:val="24"/>
        </w:rPr>
        <w:t xml:space="preserve"> The specific mathematical metric used by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database to calculate the geometric distance and semantic relevance between the user's research query vector and the embedded document vectors.</w:t>
      </w:r>
    </w:p>
    <w:p w14:paraId="3A88398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Baseline Model.</w:t>
      </w:r>
      <w:r>
        <w:rPr>
          <w:rFonts w:ascii="Times New Roman" w:eastAsia="Times New Roman" w:hAnsi="Times New Roman" w:cs="Times New Roman"/>
          <w:sz w:val="24"/>
          <w:szCs w:val="24"/>
        </w:rPr>
        <w:t xml:space="preserve"> The standalone Large Language Model, specifically the standard Gemini API utilized as the control variable. It is evaluated without access to the local database to scientifically establish an empirical baseline of hallucination severity to benchmark factual accuracy against the proposed RAG architecture.</w:t>
      </w:r>
    </w:p>
    <w:p w14:paraId="1713DF64"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AI Hallucination.</w:t>
      </w:r>
      <w:r>
        <w:rPr>
          <w:rFonts w:ascii="Times New Roman" w:eastAsia="Times New Roman" w:hAnsi="Times New Roman" w:cs="Times New Roman"/>
          <w:sz w:val="24"/>
          <w:szCs w:val="24"/>
        </w:rPr>
        <w:t xml:space="preserve"> In this study, this refers to the generative error where an </w:t>
      </w:r>
      <w:proofErr w:type="spellStart"/>
      <w:r>
        <w:rPr>
          <w:rFonts w:ascii="Times New Roman" w:eastAsia="Times New Roman" w:hAnsi="Times New Roman" w:cs="Times New Roman"/>
          <w:sz w:val="24"/>
          <w:szCs w:val="24"/>
        </w:rPr>
        <w:t>unaugmented</w:t>
      </w:r>
      <w:proofErr w:type="spellEnd"/>
      <w:r>
        <w:rPr>
          <w:rFonts w:ascii="Times New Roman" w:eastAsia="Times New Roman" w:hAnsi="Times New Roman" w:cs="Times New Roman"/>
          <w:sz w:val="24"/>
          <w:szCs w:val="24"/>
        </w:rPr>
        <w:t xml:space="preserve"> Large Language Model fabricates academic citations, methodologies, or data when queried about ISU Echague's institutional research, producing convincing but mathematically unverified information.</w:t>
      </w:r>
    </w:p>
    <w:p w14:paraId="706DAFA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ISO/IEC 25010.</w:t>
      </w:r>
      <w:r>
        <w:rPr>
          <w:rFonts w:ascii="Times New Roman" w:eastAsia="Times New Roman" w:hAnsi="Times New Roman" w:cs="Times New Roman"/>
          <w:sz w:val="24"/>
          <w:szCs w:val="24"/>
        </w:rPr>
        <w:t xml:space="preserve"> The international software quality framework used by the researchers to quantitatively assess the final web system, specifically measuring its internal quality characteristics Functional Suitability, Performance Efficiency, Reliability, and Maintainability </w:t>
      </w:r>
      <w:r>
        <w:rPr>
          <w:rFonts w:ascii="Times New Roman" w:eastAsia="Times New Roman" w:hAnsi="Times New Roman" w:cs="Times New Roman"/>
          <w:sz w:val="24"/>
          <w:szCs w:val="24"/>
        </w:rPr>
        <w:lastRenderedPageBreak/>
        <w:t>through automated software testing and static code analysis rather than subjective user evaluation.</w:t>
      </w:r>
    </w:p>
    <w:p w14:paraId="61FB8957" w14:textId="66D05BC6" w:rsidR="00FE0DBF" w:rsidRDefault="00FE0DBF">
      <w:pPr>
        <w:spacing w:before="240" w:line="480" w:lineRule="auto"/>
        <w:ind w:firstLine="720"/>
        <w:jc w:val="both"/>
        <w:rPr>
          <w:rFonts w:ascii="Times New Roman" w:eastAsia="Times New Roman" w:hAnsi="Times New Roman" w:cs="Times New Roman"/>
          <w:sz w:val="24"/>
          <w:szCs w:val="24"/>
        </w:rPr>
      </w:pPr>
      <w:r w:rsidRPr="00FE0DBF">
        <w:rPr>
          <w:rFonts w:ascii="Times New Roman" w:eastAsia="Times New Roman" w:hAnsi="Times New Roman" w:cs="Times New Roman"/>
          <w:i/>
          <w:iCs/>
          <w:sz w:val="24"/>
          <w:szCs w:val="24"/>
        </w:rPr>
        <w:t>Duplicate Parameter.</w:t>
      </w:r>
      <w:r w:rsidRPr="00FE0DBF">
        <w:rPr>
          <w:rFonts w:ascii="Times New Roman" w:eastAsia="Times New Roman" w:hAnsi="Times New Roman" w:cs="Times New Roman"/>
          <w:sz w:val="24"/>
          <w:szCs w:val="24"/>
        </w:rPr>
        <w:t xml:space="preserve"> The predefined mathematical threshold set at 85% cosine similarity. It serves as the algorithmic trigger that allows the system to identify and flag a student's research query as highly redundant compared to an existing CCSICT study, ensuring new research builds upon rather than copies existing work.</w:t>
      </w:r>
    </w:p>
    <w:p w14:paraId="3AF89FF1" w14:textId="77777777" w:rsidR="00114F3B" w:rsidRDefault="00114F3B">
      <w:pPr>
        <w:spacing w:before="240" w:line="480" w:lineRule="auto"/>
        <w:ind w:firstLine="720"/>
        <w:jc w:val="both"/>
        <w:rPr>
          <w:rFonts w:ascii="Times New Roman" w:eastAsia="Times New Roman" w:hAnsi="Times New Roman" w:cs="Times New Roman"/>
          <w:sz w:val="24"/>
          <w:szCs w:val="24"/>
        </w:rPr>
      </w:pPr>
    </w:p>
    <w:p w14:paraId="6F1CA735" w14:textId="77777777" w:rsidR="00114F3B" w:rsidRDefault="00114F3B">
      <w:pPr>
        <w:spacing w:before="240" w:line="480" w:lineRule="auto"/>
        <w:jc w:val="both"/>
        <w:rPr>
          <w:rFonts w:ascii="Times New Roman" w:eastAsia="Times New Roman" w:hAnsi="Times New Roman" w:cs="Times New Roman"/>
          <w:b/>
          <w:bCs/>
          <w:sz w:val="24"/>
          <w:szCs w:val="24"/>
        </w:rPr>
      </w:pPr>
    </w:p>
    <w:p w14:paraId="3947811C" w14:textId="77777777" w:rsidR="00114F3B" w:rsidRDefault="00114F3B">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0730D589" w14:textId="77777777" w:rsidR="00114F3B" w:rsidRDefault="00114F3B">
      <w:pPr>
        <w:pStyle w:val="Heading1"/>
        <w:keepNext w:val="0"/>
        <w:keepLines w:val="0"/>
        <w:spacing w:before="0" w:after="0" w:line="480" w:lineRule="auto"/>
        <w:rPr>
          <w:rFonts w:ascii="Times New Roman" w:eastAsia="Times New Roman" w:hAnsi="Times New Roman" w:cs="Times New Roman"/>
          <w:b/>
          <w:bCs/>
          <w:sz w:val="24"/>
          <w:szCs w:val="24"/>
        </w:rPr>
      </w:pPr>
    </w:p>
    <w:p w14:paraId="00A83708"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3AEC35F1"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71D5A99E"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1EA5AFF4"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418EB218"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007B9723"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6071A059"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53A462D4"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41BD812A"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0B14C714"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4A7831AF"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072805A4"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68122FF3"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05167161" w14:textId="77777777" w:rsidR="00B4628E" w:rsidRDefault="00B4628E">
      <w:pPr>
        <w:pStyle w:val="Heading1"/>
        <w:keepNext w:val="0"/>
        <w:keepLines w:val="0"/>
        <w:spacing w:before="0" w:after="0" w:line="480" w:lineRule="auto"/>
        <w:jc w:val="center"/>
        <w:rPr>
          <w:rFonts w:ascii="Times New Roman" w:eastAsia="Times New Roman" w:hAnsi="Times New Roman" w:cs="Times New Roman"/>
          <w:b/>
          <w:bCs/>
          <w:sz w:val="24"/>
          <w:szCs w:val="24"/>
        </w:rPr>
      </w:pPr>
    </w:p>
    <w:p w14:paraId="777C8B62" w14:textId="1CC678D6" w:rsidR="00114F3B" w:rsidRDefault="00000000">
      <w:pPr>
        <w:pStyle w:val="Heading1"/>
        <w:keepNext w:val="0"/>
        <w:keepLines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7FFC2BA7" w14:textId="77777777" w:rsidR="00114F3B" w:rsidRDefault="00000000">
      <w:pPr>
        <w:pStyle w:val="Heading1"/>
        <w:keepNext w:val="0"/>
        <w:keepLines w:val="0"/>
        <w:spacing w:before="0" w:after="0" w:line="480" w:lineRule="auto"/>
        <w:jc w:val="center"/>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Theoretical Framework</w:t>
      </w:r>
    </w:p>
    <w:p w14:paraId="0823AC05"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Review of Related Literature</w:t>
      </w:r>
    </w:p>
    <w:p w14:paraId="5B8AE327"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2.1.1 Retrieval-Augmented Generation (RAG) Architecture</w:t>
      </w:r>
    </w:p>
    <w:p w14:paraId="7A3936D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bridge the semantic gap of traditional systems, the computational linguistics community has converged on the Retrieval-Augmented Generation (RAG) architecture. RAG structurally separates an AI's linguistic reasoning capabilities from its knowledge storage, relying on external retrieval rather than internal memory. Lewis et al. (2020) introduced the original RAG framework, which connects a language model to a searchable index of documents. Their tests across several tasks showed that RAG produces more accurate answers than a language model working from memory alone, ensuring that generated responses are strictly grounded in verified databases.</w:t>
      </w:r>
    </w:p>
    <w:p w14:paraId="7FFACB78"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Khaliq et al. (2024) studied the optimization of academic queries using retrieval-augmented large language models. They explicitly used the </w:t>
      </w: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framework, recursive character text splitters, and vector databases, finding that text-splitting chunk sizes of 700 to 800 tokens optimize LLM responses for academic datasets. </w:t>
      </w:r>
      <w:proofErr w:type="spellStart"/>
      <w:r>
        <w:rPr>
          <w:rFonts w:ascii="Times New Roman" w:eastAsia="Times New Roman" w:hAnsi="Times New Roman" w:cs="Times New Roman"/>
          <w:color w:val="000000"/>
          <w:sz w:val="24"/>
          <w:szCs w:val="24"/>
        </w:rPr>
        <w:t>Mezhlumyan</w:t>
      </w:r>
      <w:proofErr w:type="spellEnd"/>
      <w:r>
        <w:rPr>
          <w:rFonts w:ascii="Times New Roman" w:eastAsia="Times New Roman" w:hAnsi="Times New Roman" w:cs="Times New Roman"/>
          <w:color w:val="000000"/>
          <w:sz w:val="24"/>
          <w:szCs w:val="24"/>
        </w:rPr>
        <w:t xml:space="preserve"> developed a RAG system for academic papers using a two-layer vector search. The project detailed how to bypass token limits when querying long academic PDFs by utilizing an HNSW index and SBERT to first find relevant thesis abstracts and then narrow down to specific paragraphs (</w:t>
      </w:r>
      <w:proofErr w:type="spellStart"/>
      <w:r>
        <w:rPr>
          <w:rFonts w:ascii="Times New Roman" w:eastAsia="Times New Roman" w:hAnsi="Times New Roman" w:cs="Times New Roman"/>
          <w:color w:val="000000"/>
          <w:sz w:val="24"/>
          <w:szCs w:val="24"/>
        </w:rPr>
        <w:t>Mezhlumyan</w:t>
      </w:r>
      <w:proofErr w:type="spellEnd"/>
      <w:r>
        <w:rPr>
          <w:rFonts w:ascii="Times New Roman" w:eastAsia="Times New Roman" w:hAnsi="Times New Roman" w:cs="Times New Roman"/>
          <w:color w:val="000000"/>
          <w:sz w:val="24"/>
          <w:szCs w:val="24"/>
        </w:rPr>
        <w:t>, 2024).</w:t>
      </w:r>
    </w:p>
    <w:p w14:paraId="535CBF4A"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Arivazhagan et al. (2023) argued that dense retrievers can generalize poorly out-of-domain and proposed a hybrid hierarchical retrieval approach. Their approach combined sparse and dense retrievers across stages, improving robustness for specialized vocabulary and </w:t>
      </w:r>
      <w:r>
        <w:rPr>
          <w:rFonts w:ascii="Times New Roman" w:eastAsia="Times New Roman" w:hAnsi="Times New Roman" w:cs="Times New Roman"/>
          <w:color w:val="000000"/>
          <w:sz w:val="24"/>
          <w:szCs w:val="24"/>
        </w:rPr>
        <w:lastRenderedPageBreak/>
        <w:t xml:space="preserve">varying user queries.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documented the use of </w:t>
      </w:r>
      <w:proofErr w:type="spellStart"/>
      <w:r>
        <w:rPr>
          <w:rFonts w:ascii="Times New Roman" w:eastAsia="Times New Roman" w:hAnsi="Times New Roman" w:cs="Times New Roman"/>
          <w:color w:val="000000"/>
          <w:sz w:val="24"/>
          <w:szCs w:val="24"/>
        </w:rPr>
        <w:t>pgvector</w:t>
      </w:r>
      <w:proofErr w:type="spellEnd"/>
      <w:r>
        <w:rPr>
          <w:rFonts w:ascii="Times New Roman" w:eastAsia="Times New Roman" w:hAnsi="Times New Roman" w:cs="Times New Roman"/>
          <w:color w:val="000000"/>
          <w:sz w:val="24"/>
          <w:szCs w:val="24"/>
        </w:rPr>
        <w:t xml:space="preserve"> for embeddings and vector similarity search. Their technical documentation provided implementation guidance for combining a library repository with a vector search backend, demonstrating the foundational data architecture required for such deployments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2026). These studies show that a robust RAG architecture requires careful orchestration of document loaders, semantic chunking, and multi-layered vector searches to process academic literature efficiently.</w:t>
      </w:r>
    </w:p>
    <w:p w14:paraId="28236E19"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Algorithmic Flow of Retrieval-Augmented Generation (RAG)</w:t>
      </w:r>
      <w:r>
        <w:rPr>
          <w:rFonts w:ascii="Times New Roman" w:eastAsia="Times New Roman" w:hAnsi="Times New Roman" w:cs="Times New Roman"/>
          <w:sz w:val="24"/>
          <w:szCs w:val="24"/>
        </w:rPr>
        <w:t xml:space="preserve"> </w:t>
      </w:r>
    </w:p>
    <w:p w14:paraId="7243845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RAG architecture operates through a bipartite algorithmic process: the Retrieval Phase and the Generation Phase. </w:t>
      </w:r>
    </w:p>
    <w:p w14:paraId="233977A5" w14:textId="371B397B"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Retrieval Phase, a user's natural language query is first processed by an embedding model, such as Gemini’s text-embedding-004. Unlike traditional keyword tagging, this process falls under the domain of </w:t>
      </w:r>
      <w:r>
        <w:rPr>
          <w:rFonts w:ascii="Times New Roman" w:eastAsia="Times New Roman" w:hAnsi="Times New Roman" w:cs="Times New Roman"/>
          <w:b/>
          <w:bCs/>
          <w:sz w:val="24"/>
          <w:szCs w:val="24"/>
        </w:rPr>
        <w:t>Unstructured Text Mining</w:t>
      </w:r>
      <w:r>
        <w:rPr>
          <w:rFonts w:ascii="Times New Roman" w:eastAsia="Times New Roman" w:hAnsi="Times New Roman" w:cs="Times New Roman"/>
          <w:sz w:val="24"/>
          <w:szCs w:val="24"/>
        </w:rPr>
        <w:t>. The model performs deep feature extraction, mapping the semantic meaning of the text into a high-dimensional continuous vector space, typically consisting of 768 dimensions.</w:t>
      </w:r>
    </w:p>
    <w:p w14:paraId="532CBC3B" w14:textId="2A78E805" w:rsidR="00114F3B" w:rsidRDefault="00000000" w:rsidP="000C3B61">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vectorized, the algorithm executes a nearest-neighbor search against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database, which contains the pre-embedded chunks of institutional thesis documents. The retrieval is governed by </w:t>
      </w:r>
      <w:r>
        <w:rPr>
          <w:rFonts w:ascii="Times New Roman" w:eastAsia="Times New Roman" w:hAnsi="Times New Roman" w:cs="Times New Roman"/>
          <w:b/>
          <w:bCs/>
          <w:sz w:val="24"/>
          <w:szCs w:val="24"/>
        </w:rPr>
        <w:t>Cosine Similarity</w:t>
      </w:r>
      <w:r>
        <w:rPr>
          <w:rFonts w:ascii="Times New Roman" w:eastAsia="Times New Roman" w:hAnsi="Times New Roman" w:cs="Times New Roman"/>
          <w:sz w:val="24"/>
          <w:szCs w:val="24"/>
        </w:rPr>
        <w:t>, a mathematical distance metric that calculates the cosine of the angle between the query vector (</w:t>
      </w:r>
      <m:oMath>
        <m:r>
          <w:rPr>
            <w:rFonts w:ascii="Cambria Math" w:eastAsia="Cambria Math" w:hAnsi="Cambria Math" w:cs="Cambria Math"/>
            <w:sz w:val="24"/>
            <w:szCs w:val="24"/>
          </w:rPr>
          <m:t>A</m:t>
        </m:r>
      </m:oMath>
      <w:r>
        <w:rPr>
          <w:rFonts w:ascii="Times New Roman" w:eastAsia="Times New Roman" w:hAnsi="Times New Roman" w:cs="Times New Roman"/>
          <w:sz w:val="24"/>
          <w:szCs w:val="24"/>
        </w:rPr>
        <w:t>) and the document vector (</w:t>
      </w:r>
      <m:oMath>
        <m:r>
          <w:rPr>
            <w:rFonts w:ascii="Cambria Math" w:eastAsia="Cambria Math" w:hAnsi="Cambria Math" w:cs="Cambria Math"/>
            <w:sz w:val="24"/>
            <w:szCs w:val="24"/>
          </w:rPr>
          <m:t>B</m:t>
        </m:r>
      </m:oMath>
      <w:r>
        <w:rPr>
          <w:rFonts w:ascii="Times New Roman" w:eastAsia="Times New Roman" w:hAnsi="Times New Roman" w:cs="Times New Roman"/>
          <w:sz w:val="24"/>
          <w:szCs w:val="24"/>
        </w:rPr>
        <w:t>). Mathematically expressed as </w:t>
      </w:r>
    </w:p>
    <w:p w14:paraId="763E0BE1" w14:textId="77777777" w:rsidR="00114F3B" w:rsidRDefault="00000000">
      <w:pPr>
        <w:jc w:val="center"/>
        <w:rPr>
          <w:rFonts w:ascii="Times New Roman" w:eastAsia="Times New Roman" w:hAnsi="Times New Roman" w:cs="Times New Roman"/>
          <w:i/>
          <w:iCs/>
          <w:sz w:val="24"/>
          <w:szCs w:val="24"/>
        </w:rPr>
      </w:pPr>
      <m:oMathPara>
        <m:oMath>
          <m:r>
            <w:rPr>
              <w:rFonts w:ascii="Times New Roman" w:eastAsia="Times New Roman" w:hAnsi="Times New Roman" w:cs="Times New Roman"/>
              <w:sz w:val="24"/>
              <w:szCs w:val="24"/>
            </w:rPr>
            <m:t>Cosine Similarity</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A⋅B</m:t>
              </m:r>
            </m:num>
            <m:den>
              <m:r>
                <w:rPr>
                  <w:rFonts w:ascii="Cambria Math" w:eastAsia="Cambria Math" w:hAnsi="Cambria Math" w:cs="Cambria Math"/>
                  <w:sz w:val="24"/>
                  <w:szCs w:val="24"/>
                </w:rPr>
                <m:t>∣∣A∣∣∣∣B∣∣</m:t>
              </m:r>
            </m:den>
          </m:f>
        </m:oMath>
      </m:oMathPara>
    </w:p>
    <w:p w14:paraId="455ABEE2"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Where:</w:t>
      </w:r>
    </w:p>
    <w:p w14:paraId="4559BF97" w14:textId="77777777" w:rsidR="00114F3B" w:rsidRDefault="00000000">
      <w:pPr>
        <w:spacing w:before="240" w:line="48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 Query vector (the user's research question converted into a high-dimensional embedding)</w:t>
      </w:r>
    </w:p>
    <w:p w14:paraId="1F17D561" w14:textId="77777777" w:rsidR="00114F3B" w:rsidRDefault="00000000">
      <w:pPr>
        <w:spacing w:before="240" w:line="480" w:lineRule="auto"/>
        <w:ind w:left="360"/>
        <w:jc w:val="both"/>
        <w:rPr>
          <w:rFonts w:ascii="Times New Roman" w:eastAsia="Times New Roman" w:hAnsi="Times New Roman" w:cs="Times New Roman"/>
          <w:sz w:val="24"/>
          <w:szCs w:val="24"/>
        </w:rPr>
      </w:pPr>
      <m:oMath>
        <m:r>
          <w:rPr>
            <w:rFonts w:ascii="Times New Roman" w:eastAsia="Times New Roman" w:hAnsi="Times New Roman" w:cs="Times New Roman"/>
            <w:sz w:val="24"/>
            <w:szCs w:val="24"/>
          </w:rPr>
          <w:lastRenderedPageBreak/>
          <m:t xml:space="preserve">B </m:t>
        </m:r>
      </m:oMath>
      <w:r>
        <w:rPr>
          <w:rFonts w:ascii="Times New Roman" w:eastAsia="Times New Roman" w:hAnsi="Times New Roman" w:cs="Times New Roman"/>
          <w:sz w:val="24"/>
          <w:szCs w:val="24"/>
        </w:rPr>
        <w:t>= Document vector (a pre-embedded thesis chunk stored in the Supabase pgvector database)</w:t>
      </w:r>
    </w:p>
    <w:p w14:paraId="7061B5B0" w14:textId="77777777" w:rsidR="00114F3B" w:rsidRDefault="00000000">
      <w:pPr>
        <w:spacing w:before="240" w:line="288" w:lineRule="auto"/>
        <w:ind w:left="360"/>
        <w:jc w:val="both"/>
        <w:rPr>
          <w:rFonts w:ascii="Times New Roman" w:eastAsia="Times New Roman" w:hAnsi="Times New Roman" w:cs="Times New Roman"/>
          <w:sz w:val="24"/>
          <w:szCs w:val="24"/>
        </w:rPr>
      </w:pPr>
      <m:oMath>
        <m:r>
          <w:rPr>
            <w:rFonts w:ascii="Cambria Math" w:eastAsia="Cambria Math" w:hAnsi="Cambria Math" w:cs="Cambria Math"/>
            <w:sz w:val="24"/>
            <w:szCs w:val="24"/>
          </w:rPr>
          <m:t>A⋅B</m:t>
        </m:r>
      </m:oMath>
      <w:r>
        <w:rPr>
          <w:rFonts w:ascii="Times New Roman" w:eastAsia="Times New Roman" w:hAnsi="Times New Roman" w:cs="Times New Roman"/>
          <w:b/>
          <w:bCs/>
          <w:sz w:val="24"/>
          <w:szCs w:val="24"/>
        </w:rPr>
        <w:t xml:space="preserve"> = </w:t>
      </w:r>
      <w:r>
        <w:rPr>
          <w:rFonts w:ascii="Times New Roman" w:eastAsia="Times New Roman" w:hAnsi="Times New Roman" w:cs="Times New Roman"/>
          <w:sz w:val="24"/>
          <w:szCs w:val="24"/>
        </w:rPr>
        <w:t xml:space="preserve">Dot product of vectors A and B </w:t>
      </w:r>
    </w:p>
    <w:p w14:paraId="6F841DC4" w14:textId="77777777" w:rsidR="00114F3B" w:rsidRDefault="00000000">
      <w:pPr>
        <w:spacing w:before="240" w:line="288" w:lineRule="auto"/>
        <w:ind w:left="360"/>
        <w:jc w:val="both"/>
        <w:rPr>
          <w:rFonts w:ascii="Times New Roman" w:eastAsia="Times New Roman" w:hAnsi="Times New Roman" w:cs="Times New Roman"/>
          <w:sz w:val="28"/>
          <w:szCs w:val="28"/>
        </w:rPr>
      </w:pPr>
      <m:oMath>
        <m:r>
          <w:rPr>
            <w:rFonts w:ascii="Cambria Math" w:eastAsia="Cambria Math" w:hAnsi="Cambria Math" w:cs="Cambria Math"/>
            <w:sz w:val="24"/>
            <w:szCs w:val="24"/>
          </w:rPr>
          <m:t>∣∣A∣∣∣∣B∣∣</m:t>
        </m:r>
      </m:oMath>
      <w:r>
        <w:rPr>
          <w:rFonts w:ascii="Cambria Math" w:eastAsia="Cambria Math" w:hAnsi="Cambria Math" w:cs="Cambria Math"/>
          <w:sz w:val="24"/>
          <w:szCs w:val="24"/>
        </w:rPr>
        <w:t xml:space="preserve"> = </w:t>
      </w:r>
      <w:r>
        <w:rPr>
          <w:rFonts w:ascii="Times New Roman" w:eastAsia="Times New Roman" w:hAnsi="Times New Roman" w:cs="Times New Roman"/>
          <w:sz w:val="24"/>
          <w:szCs w:val="24"/>
        </w:rPr>
        <w:t>Product of the magnitudes of vectors A and B</w:t>
      </w:r>
    </w:p>
    <w:p w14:paraId="3A76D9B8" w14:textId="77777777" w:rsidR="00114F3B" w:rsidRDefault="00114F3B">
      <w:pPr>
        <w:spacing w:before="240" w:line="288" w:lineRule="auto"/>
        <w:ind w:left="360"/>
        <w:jc w:val="both"/>
        <w:rPr>
          <w:rFonts w:ascii="Times New Roman" w:eastAsia="Times New Roman" w:hAnsi="Times New Roman" w:cs="Times New Roman"/>
          <w:i/>
          <w:iCs/>
          <w:sz w:val="28"/>
          <w:szCs w:val="28"/>
        </w:rPr>
      </w:pPr>
    </w:p>
    <w:p w14:paraId="7C8B48D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formula ensures that documents sharing the closest contextual meaning even if they do not share exact keywords are pulled from the database.</w:t>
      </w:r>
    </w:p>
    <w:p w14:paraId="06779BD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Generation Phase, these retrieved top-</w:t>
      </w:r>
      <w:r>
        <w:rPr>
          <w:rFonts w:ascii="Times New Roman" w:eastAsia="Times New Roman" w:hAnsi="Times New Roman" w:cs="Times New Roman"/>
          <w:i/>
          <w:iCs/>
          <w:sz w:val="24"/>
          <w:szCs w:val="24"/>
        </w:rPr>
        <w:t>k</w:t>
      </w:r>
      <w:r>
        <w:rPr>
          <w:rFonts w:ascii="Times New Roman" w:eastAsia="Times New Roman" w:hAnsi="Times New Roman" w:cs="Times New Roman"/>
          <w:sz w:val="24"/>
          <w:szCs w:val="24"/>
        </w:rPr>
        <w:t> document chunks are concatenated with the user's original query to form an augmented prompt. Instead of relying on its parametric memory, which risks hallucination, the LLM algorithm utilizes its self-attention mechanisms to synthesize an answer strictly derived from the appended context window. This algorithmic pipeline mathematically grounds the generated text in the localized data, ensuring verifiability (see Figure 1).</w:t>
      </w:r>
    </w:p>
    <w:p w14:paraId="35A207EE" w14:textId="77777777" w:rsidR="00114F3B" w:rsidRDefault="00114F3B">
      <w:pPr>
        <w:spacing w:before="240" w:line="480" w:lineRule="auto"/>
        <w:jc w:val="both"/>
        <w:rPr>
          <w:rFonts w:ascii="Times New Roman" w:eastAsia="Times New Roman" w:hAnsi="Times New Roman" w:cs="Times New Roman"/>
          <w:b/>
          <w:bCs/>
          <w:sz w:val="24"/>
          <w:szCs w:val="24"/>
        </w:rPr>
      </w:pPr>
    </w:p>
    <w:p w14:paraId="24170F3A" w14:textId="77777777" w:rsidR="00114F3B" w:rsidRDefault="00114F3B">
      <w:pPr>
        <w:spacing w:before="240" w:line="480" w:lineRule="auto"/>
        <w:jc w:val="both"/>
        <w:rPr>
          <w:rFonts w:ascii="Times New Roman" w:eastAsia="Times New Roman" w:hAnsi="Times New Roman" w:cs="Times New Roman"/>
          <w:b/>
          <w:bCs/>
          <w:sz w:val="24"/>
          <w:szCs w:val="24"/>
        </w:rPr>
      </w:pPr>
    </w:p>
    <w:p w14:paraId="23AFEEC7" w14:textId="77777777" w:rsidR="00114F3B" w:rsidRDefault="00114F3B">
      <w:pPr>
        <w:spacing w:before="240" w:line="480" w:lineRule="auto"/>
        <w:jc w:val="both"/>
        <w:rPr>
          <w:rFonts w:ascii="Times New Roman" w:eastAsia="Times New Roman" w:hAnsi="Times New Roman" w:cs="Times New Roman"/>
          <w:b/>
          <w:bCs/>
          <w:sz w:val="24"/>
          <w:szCs w:val="24"/>
        </w:rPr>
      </w:pPr>
    </w:p>
    <w:p w14:paraId="2F67FF71" w14:textId="77777777" w:rsidR="00114F3B" w:rsidRDefault="00114F3B">
      <w:pPr>
        <w:spacing w:before="240" w:line="480" w:lineRule="auto"/>
        <w:jc w:val="both"/>
        <w:rPr>
          <w:rFonts w:ascii="Times New Roman" w:eastAsia="Times New Roman" w:hAnsi="Times New Roman" w:cs="Times New Roman"/>
          <w:b/>
          <w:bCs/>
          <w:sz w:val="24"/>
          <w:szCs w:val="24"/>
        </w:rPr>
      </w:pPr>
    </w:p>
    <w:p w14:paraId="5A044F63" w14:textId="77777777" w:rsidR="000C3B61" w:rsidRDefault="000C3B61">
      <w:pPr>
        <w:spacing w:before="240" w:line="480" w:lineRule="auto"/>
        <w:jc w:val="both"/>
        <w:rPr>
          <w:rFonts w:ascii="Times New Roman" w:eastAsia="Times New Roman" w:hAnsi="Times New Roman" w:cs="Times New Roman"/>
          <w:b/>
          <w:bCs/>
          <w:sz w:val="24"/>
          <w:szCs w:val="24"/>
        </w:rPr>
      </w:pPr>
    </w:p>
    <w:p w14:paraId="5F1F9107" w14:textId="77777777" w:rsidR="000C3B61" w:rsidRDefault="000C3B61">
      <w:pPr>
        <w:spacing w:before="240" w:line="480" w:lineRule="auto"/>
        <w:jc w:val="both"/>
        <w:rPr>
          <w:rFonts w:ascii="Times New Roman" w:eastAsia="Times New Roman" w:hAnsi="Times New Roman" w:cs="Times New Roman"/>
          <w:b/>
          <w:bCs/>
          <w:sz w:val="24"/>
          <w:szCs w:val="24"/>
        </w:rPr>
      </w:pPr>
    </w:p>
    <w:p w14:paraId="30E4B171" w14:textId="77777777" w:rsidR="000C3B61" w:rsidRDefault="000C3B61">
      <w:pPr>
        <w:spacing w:before="240" w:line="480" w:lineRule="auto"/>
        <w:jc w:val="both"/>
        <w:rPr>
          <w:rFonts w:ascii="Times New Roman" w:eastAsia="Times New Roman" w:hAnsi="Times New Roman" w:cs="Times New Roman"/>
          <w:b/>
          <w:bCs/>
          <w:sz w:val="24"/>
          <w:szCs w:val="24"/>
        </w:rPr>
      </w:pPr>
    </w:p>
    <w:p w14:paraId="26B6827D" w14:textId="77777777" w:rsidR="000C3B61" w:rsidRDefault="000C3B61">
      <w:pPr>
        <w:spacing w:before="240" w:line="480" w:lineRule="auto"/>
        <w:jc w:val="both"/>
        <w:rPr>
          <w:rFonts w:ascii="Times New Roman" w:eastAsia="Times New Roman" w:hAnsi="Times New Roman" w:cs="Times New Roman"/>
          <w:b/>
          <w:bCs/>
          <w:sz w:val="24"/>
          <w:szCs w:val="24"/>
        </w:rPr>
      </w:pPr>
    </w:p>
    <w:p w14:paraId="43BF5FE7" w14:textId="50780076"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1</w:t>
      </w:r>
      <w:r>
        <w:rPr>
          <w:rFonts w:ascii="Times New Roman" w:eastAsia="Times New Roman" w:hAnsi="Times New Roman" w:cs="Times New Roman"/>
          <w:sz w:val="24"/>
          <w:szCs w:val="24"/>
        </w:rPr>
        <w:t xml:space="preserve"> </w:t>
      </w:r>
    </w:p>
    <w:p w14:paraId="1FCEF032"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Algorithmic Flow of Retrieval-Augmented Generation (RAG)</w:t>
      </w:r>
      <w:r>
        <w:rPr>
          <w:noProof/>
        </w:rPr>
        <w:drawing>
          <wp:anchor distT="114300" distB="114300" distL="114300" distR="114300" simplePos="0" relativeHeight="251658240" behindDoc="0" locked="0" layoutInCell="1" hidden="0" allowOverlap="1" wp14:anchorId="7F52861E" wp14:editId="1BF028AF">
            <wp:simplePos x="0" y="0"/>
            <wp:positionH relativeFrom="column">
              <wp:posOffset>-519112</wp:posOffset>
            </wp:positionH>
            <wp:positionV relativeFrom="paragraph">
              <wp:posOffset>523875</wp:posOffset>
            </wp:positionV>
            <wp:extent cx="6838950" cy="3542556"/>
            <wp:effectExtent l="0" t="0" r="0" b="0"/>
            <wp:wrapTopAndBottom distT="114300" distB="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838950" cy="3542556"/>
                    </a:xfrm>
                    <a:prstGeom prst="rect">
                      <a:avLst/>
                    </a:prstGeom>
                    <a:ln/>
                  </pic:spPr>
                </pic:pic>
              </a:graphicData>
            </a:graphic>
          </wp:anchor>
        </w:drawing>
      </w:r>
    </w:p>
    <w:p w14:paraId="60E1686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2.1.2 Large Language Models (LLMs) and Hallucination Mitigation</w:t>
      </w:r>
    </w:p>
    <w:p w14:paraId="426E569C"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general LLMs possess powerful natural language understanding, their direct application in academic research introduces profound risks of hallucinations, making targeted context retrieval and faithfulness critical. Kovanen (2025) explored the taxonomy of AI errors by distinguishing between factuality contradictions and faithful hallucinations. The study defined faithfulness as the AI's ability to stick strictly to the uploaded context without fabricating outside information. Barnett et al. (2024) identified seven critical failure points when engineering RAG systems, including incomplete retrieval, missed context, and wrong-format outputs, demonstrating the strict engineering constraints required to balance factual grounding and answer coverage. Their findings provide a practical engineering checklist for diagnosing and preventing retrieval failures in production RAG deployments.</w:t>
      </w:r>
    </w:p>
    <w:p w14:paraId="1DFD84CD"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Gao et al. (2024) surveyed a wide range of RAG architectures and noted that knowledge representation strategies particularly how text is semantically chunked significantly influence LLM accuracy and hallucination rates. Their survey synthesized findings from multiple studies demonstrating that semantically chunking texts such as separating methodology from results yields higher AI accuracy and drastically reduces hallucinations. Wong et al. (2025) warned that RAG systems can suffer from pragmatic misalignment. Their critical paper explained that systems might pull technically accurate facts but take them out of context, leading to misleading answers and becoming dangerous communicators if not properly bound.</w:t>
      </w:r>
    </w:p>
    <w:p w14:paraId="21DC760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Liu et al. (2024) showed that long-context language models underutilize information located in the middle of long prompts. Their study on the "Lost in the Middle" phenomenon strongly supported the need for careful chunking, retrieval ordering, and semantic search to pinpoint relevant sections rather than stuffing chapters into prompts. Gao et al. (2024) similarly addressed this phenomenon, noting how information buried in hundreds of pages requires targeted retrieval to maintain model effectiveness. These studies show that while RAG mitigates basic hallucinations, ensuring true faithfulness requires advanced semantic chunking, context reordering, and an awareness of pragmatic misalignment to guarantee accurate academic synthesis (see Figure 2).</w:t>
      </w:r>
    </w:p>
    <w:p w14:paraId="21A9B8CD" w14:textId="77777777" w:rsidR="00114F3B" w:rsidRDefault="00114F3B">
      <w:pPr>
        <w:spacing w:before="240" w:line="480" w:lineRule="auto"/>
        <w:jc w:val="both"/>
        <w:rPr>
          <w:rFonts w:ascii="Times New Roman" w:eastAsia="Times New Roman" w:hAnsi="Times New Roman" w:cs="Times New Roman"/>
          <w:b/>
          <w:bCs/>
          <w:sz w:val="24"/>
          <w:szCs w:val="24"/>
        </w:rPr>
      </w:pPr>
    </w:p>
    <w:p w14:paraId="07234F6B" w14:textId="77777777" w:rsidR="00114F3B" w:rsidRDefault="00114F3B">
      <w:pPr>
        <w:spacing w:before="240" w:line="480" w:lineRule="auto"/>
        <w:jc w:val="both"/>
        <w:rPr>
          <w:rFonts w:ascii="Times New Roman" w:eastAsia="Times New Roman" w:hAnsi="Times New Roman" w:cs="Times New Roman"/>
          <w:b/>
          <w:bCs/>
          <w:sz w:val="24"/>
          <w:szCs w:val="24"/>
        </w:rPr>
      </w:pPr>
    </w:p>
    <w:p w14:paraId="70AA5F29" w14:textId="77777777" w:rsidR="00114F3B" w:rsidRDefault="00114F3B">
      <w:pPr>
        <w:spacing w:before="240" w:line="480" w:lineRule="auto"/>
        <w:jc w:val="both"/>
        <w:rPr>
          <w:rFonts w:ascii="Times New Roman" w:eastAsia="Times New Roman" w:hAnsi="Times New Roman" w:cs="Times New Roman"/>
          <w:b/>
          <w:bCs/>
          <w:sz w:val="24"/>
          <w:szCs w:val="24"/>
        </w:rPr>
      </w:pPr>
    </w:p>
    <w:p w14:paraId="531196F0" w14:textId="77777777" w:rsidR="00114F3B" w:rsidRDefault="00114F3B">
      <w:pPr>
        <w:spacing w:before="240" w:line="480" w:lineRule="auto"/>
        <w:jc w:val="both"/>
        <w:rPr>
          <w:rFonts w:ascii="Times New Roman" w:eastAsia="Times New Roman" w:hAnsi="Times New Roman" w:cs="Times New Roman"/>
          <w:b/>
          <w:bCs/>
          <w:sz w:val="24"/>
          <w:szCs w:val="24"/>
        </w:rPr>
      </w:pPr>
    </w:p>
    <w:p w14:paraId="64D85684" w14:textId="77777777" w:rsidR="00114F3B" w:rsidRDefault="00114F3B">
      <w:pPr>
        <w:spacing w:before="240" w:line="480" w:lineRule="auto"/>
        <w:jc w:val="both"/>
        <w:rPr>
          <w:rFonts w:ascii="Times New Roman" w:eastAsia="Times New Roman" w:hAnsi="Times New Roman" w:cs="Times New Roman"/>
          <w:b/>
          <w:bCs/>
          <w:sz w:val="24"/>
          <w:szCs w:val="24"/>
        </w:rPr>
      </w:pPr>
    </w:p>
    <w:p w14:paraId="5A7C0448"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2</w:t>
      </w:r>
      <w:r>
        <w:rPr>
          <w:rFonts w:ascii="Times New Roman" w:eastAsia="Times New Roman" w:hAnsi="Times New Roman" w:cs="Times New Roman"/>
          <w:sz w:val="24"/>
          <w:szCs w:val="24"/>
        </w:rPr>
        <w:t xml:space="preserve"> </w:t>
      </w:r>
    </w:p>
    <w:p w14:paraId="62BD216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Identified LLM Error Behaviors and Corresponding RAG Mitigation Strategies</w:t>
      </w:r>
      <w:r>
        <w:rPr>
          <w:noProof/>
        </w:rPr>
        <w:drawing>
          <wp:anchor distT="114300" distB="114300" distL="114300" distR="114300" simplePos="0" relativeHeight="251659264" behindDoc="0" locked="0" layoutInCell="1" hidden="0" allowOverlap="1" wp14:anchorId="675577BF" wp14:editId="54DFC0BD">
            <wp:simplePos x="0" y="0"/>
            <wp:positionH relativeFrom="column">
              <wp:posOffset>-600074</wp:posOffset>
            </wp:positionH>
            <wp:positionV relativeFrom="paragraph">
              <wp:posOffset>514350</wp:posOffset>
            </wp:positionV>
            <wp:extent cx="6929438" cy="4362264"/>
            <wp:effectExtent l="0" t="0" r="0" b="0"/>
            <wp:wrapTopAndBottom distT="114300" distB="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929438" cy="4362264"/>
                    </a:xfrm>
                    <a:prstGeom prst="rect">
                      <a:avLst/>
                    </a:prstGeom>
                    <a:ln/>
                  </pic:spPr>
                </pic:pic>
              </a:graphicData>
            </a:graphic>
          </wp:anchor>
        </w:drawing>
      </w:r>
    </w:p>
    <w:p w14:paraId="0CB89304"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2.1.3 Traditional Library Systems and the Semantic Gap</w:t>
      </w:r>
    </w:p>
    <w:p w14:paraId="1FECC55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Traditional library systems, such as Online Public Access Catalogues (OPAC), are foundational to academic institutions but often struggle with the semantic complexity of modern research. These systems typically operate on rigid Boolean logic and literal keyword matching, which limits their ability to process natural language queries effectively. </w:t>
      </w:r>
      <w:proofErr w:type="spellStart"/>
      <w:r>
        <w:rPr>
          <w:rFonts w:ascii="Times New Roman" w:eastAsia="Times New Roman" w:hAnsi="Times New Roman" w:cs="Times New Roman"/>
          <w:color w:val="000000"/>
          <w:sz w:val="24"/>
          <w:szCs w:val="24"/>
        </w:rPr>
        <w:t>Bevara</w:t>
      </w:r>
      <w:proofErr w:type="spellEnd"/>
      <w:r>
        <w:rPr>
          <w:rFonts w:ascii="Times New Roman" w:eastAsia="Times New Roman" w:hAnsi="Times New Roman" w:cs="Times New Roman"/>
          <w:color w:val="000000"/>
          <w:sz w:val="24"/>
          <w:szCs w:val="24"/>
        </w:rPr>
        <w:t xml:space="preserve"> et al. (2025) explored the shift from traditional keyword-based Boolean library searches to Natural Language Retrieval-Augmented Generation (RAG) systems. Their work discussed metadata indexing and real-time query processing, proving that traditional systems like OPAC </w:t>
      </w:r>
      <w:r>
        <w:rPr>
          <w:rFonts w:ascii="Times New Roman" w:eastAsia="Times New Roman" w:hAnsi="Times New Roman" w:cs="Times New Roman"/>
          <w:color w:val="000000"/>
          <w:sz w:val="24"/>
          <w:szCs w:val="24"/>
        </w:rPr>
        <w:lastRenderedPageBreak/>
        <w:t>fail at handling complex student queries. The authors found that this failure creates a strict demand for semantic AI search capabilities.</w:t>
      </w:r>
    </w:p>
    <w:p w14:paraId="595A652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Xuan and Shaw (2025) presented a real-world case study of an academic library implementing RAG to allow users to search their institutional repository using natural language instead of rigid metadata. Their study showed that top-tier institutions globally are replacing traditional OPAC systems with RAG, indicating that this modernization is a necessary technological transition for academic archives. These studies show that traditional library systems operating strictly on literal word matching cannot interpret the semantic intent behind complex academic searches, leading to high rates of unintentional topic duplication and the necessity of semantic AI modernization.</w:t>
      </w:r>
    </w:p>
    <w:p w14:paraId="7BE67F5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Local Context</w:t>
      </w:r>
    </w:p>
    <w:p w14:paraId="54B15E4A" w14:textId="09AB8875"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Within the local context of the Philippines, the limitations of traditional library systems are heavily documented. A study by </w:t>
      </w: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xml:space="preserve"> et al. (2023)</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conducted at a higher educational institution in Mindanao revealed that the majority of students rarely utilize the traditional Online Public Access Catalog (OPAC) due to user dissatisfaction, rigid search functionalities, and an inability to interpret complex research queries.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Armilla and Abangan (2025) assessed the digitization of academic libraries in the Philippines, highlighting that while State Universities are transitioning from physical hardbound copies to digital PDFs, they face massive technological bottlenecks in information retrieval.</w:t>
      </w:r>
    </w:p>
    <w:p w14:paraId="337B239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resolve this, Philippine academic sectors are beginning to explore AI. Sambrano et al. (2025) studied state university students in Region I and found a massive shift in library patronage, noting that students now prefer AI tools over traditional OPACs strictly because of "faster information retrieval" and natural language understanding. Even at the national level, the Supreme Court of the Philippines Library recently initiated the redevelopment of their E-</w:t>
      </w:r>
      <w:r>
        <w:rPr>
          <w:rFonts w:ascii="Times New Roman" w:eastAsia="Times New Roman" w:hAnsi="Times New Roman" w:cs="Times New Roman"/>
          <w:sz w:val="24"/>
          <w:szCs w:val="24"/>
        </w:rPr>
        <w:lastRenderedPageBreak/>
        <w:t>Library to transition away from keyword-matching, integrating AI natural language processing to allow users to search legal precedents using conversational queries (Supreme Court of the Philippines, 2024). These local studies validate the urgent necessity for State Universities like ISU Echague to modernize their unstructured thesis archives using semantic AI architectures.</w:t>
      </w:r>
    </w:p>
    <w:p w14:paraId="1611F2A3"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2.1.4 Data Preprocessing and Information Overload</w:t>
      </w:r>
    </w:p>
    <w:p w14:paraId="49961E52"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inability of traditional systems to facilitate deep, interactive querying directly leads to the manifestation of the "data graveyard" phenomenon, where unstructured academic data becomes buried and unusable. Custer and Sethi (2017) highlighted that static repositories often become "data graveyards" because they lack interactive retrieval mechanisms. Their research pointed out that vast amounts of collected institutional data are stored but rarely accessed or interpreted due to severe usability hurdles.</w:t>
      </w:r>
    </w:p>
    <w:p w14:paraId="1F161817"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Vercruysse et al. (2024) focused on extracting semantic graphs and structuring Linked Data into plain objects for developers. Their study highlighted the complexity of raw data extraction and supported the argument that converting unstructured academic data, such as digitized PDFs, into structured, readable formats requires specialized semantic lenses. </w:t>
      </w:r>
      <w:proofErr w:type="spellStart"/>
      <w:r>
        <w:rPr>
          <w:rFonts w:ascii="Times New Roman" w:eastAsia="Times New Roman" w:hAnsi="Times New Roman" w:cs="Times New Roman"/>
          <w:color w:val="000000"/>
          <w:sz w:val="24"/>
          <w:szCs w:val="24"/>
        </w:rPr>
        <w:t>Gokdemir</w:t>
      </w:r>
      <w:proofErr w:type="spellEnd"/>
      <w:r>
        <w:rPr>
          <w:rFonts w:ascii="Times New Roman" w:eastAsia="Times New Roman" w:hAnsi="Times New Roman" w:cs="Times New Roman"/>
          <w:color w:val="000000"/>
          <w:sz w:val="24"/>
          <w:szCs w:val="24"/>
        </w:rPr>
        <w:t xml:space="preserve"> et al. (2025) detailed a High-Performance Computing (HPC) RAG workflow that parsed over 3.6 million scientific PDFs. They introduced a layout-aware PDF parser called Oreo and a query-aware encoder, explaining the massive computational challenges of extracting text from hardbound scanned theses and defending the need for dedicated data preprocessing stages.</w:t>
      </w:r>
    </w:p>
    <w:p w14:paraId="2DA6FE34"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Aytar et al. (2025) focused on using GROBID for data cleaning, semantic chunking, and an abstract-first retrieval method. Their framework helped navigate literature without information overload by quickly scanning thesis abstracts before performing a deep dive into the full PDF content, saving significant computational power. These studies show that </w:t>
      </w:r>
      <w:r>
        <w:rPr>
          <w:rFonts w:ascii="Times New Roman" w:eastAsia="Times New Roman" w:hAnsi="Times New Roman" w:cs="Times New Roman"/>
          <w:color w:val="000000"/>
          <w:sz w:val="24"/>
          <w:szCs w:val="24"/>
        </w:rPr>
        <w:lastRenderedPageBreak/>
        <w:t>unstructured academic texts pose a significant challenge, and that without proper layout-aware parsing and abstract-first retrieval strategies, documents risk becoming completely inaccessible data graveyards.</w:t>
      </w:r>
    </w:p>
    <w:p w14:paraId="7A72CE2E"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2.1.5 Educational RAG Systems and Traceable Citations (Related Studies)</w:t>
      </w:r>
    </w:p>
    <w:p w14:paraId="215CAAE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application of RAG within educational domains provides institutional support and enforces academic verifiability through explicitly traceable citations. Li et al. (2025) reviewed dozens of studies applying RAG across educational scenarios through a systematic survey. The survey identified recurring challenges such as hallucination and evaluation gaps, strengthening the argument that RAG is an established and highly necessary approach for educational support.</w:t>
      </w:r>
    </w:p>
    <w:p w14:paraId="7B14506D"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Oreški and Vlahek (2024) described the development of an AI chatbot for student support based on RAG. Their case study reported prototyping choices motivated by domain knowledge gaps, illustrating how RAG can be operationalized as an academic assistant strictly grounded in institutional content. </w:t>
      </w:r>
      <w:proofErr w:type="spellStart"/>
      <w:r>
        <w:rPr>
          <w:rFonts w:ascii="Times New Roman" w:eastAsia="Times New Roman" w:hAnsi="Times New Roman" w:cs="Times New Roman"/>
          <w:color w:val="000000"/>
          <w:sz w:val="24"/>
          <w:szCs w:val="24"/>
        </w:rPr>
        <w:t>Besrour</w:t>
      </w:r>
      <w:proofErr w:type="spellEnd"/>
      <w:r>
        <w:rPr>
          <w:rFonts w:ascii="Times New Roman" w:eastAsia="Times New Roman" w:hAnsi="Times New Roman" w:cs="Times New Roman"/>
          <w:color w:val="000000"/>
          <w:sz w:val="24"/>
          <w:szCs w:val="24"/>
        </w:rPr>
        <w:t xml:space="preserve"> et al. (2025) detailed a system providing fine-grained in-line citations for scientific question-answering. Their multi-agent RAG system allowed users to trace claims back to specific sentences, validating that RAG can eliminate hallucinations by providing explicit, verifiable citations from local archives.</w:t>
      </w:r>
    </w:p>
    <w:p w14:paraId="555E6BD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Gao et al. (2023) introduced the ALCE benchmark for generating text with citations. They argued that citations improve verifiability and constrain hallucinations, demonstrating that responses must treat citations as a first-class output to support academic claims effectively. These studies show that educational RAG applications significantly benefit students by acting as domain-bounded assistants, and that enforcing explicit in-line citations is critical for maintaining academic integrity and verifiability.</w:t>
      </w:r>
    </w:p>
    <w:p w14:paraId="675554F9"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lastRenderedPageBreak/>
        <w:t>2.1.6 System Evaluation, Privacy, and Security</w:t>
      </w:r>
    </w:p>
    <w:p w14:paraId="4FA9C107"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successful deployment of a Web-Based Intelligent Thesis Library necessitates rigorous, quantifiable evaluation methodologies and strict security protocols to protect institutional intellectual property. Santra et al. (2025) discussed building a locally deployed conversational search tool called the </w:t>
      </w:r>
      <w:proofErr w:type="spellStart"/>
      <w:r>
        <w:rPr>
          <w:rFonts w:ascii="Times New Roman" w:eastAsia="Times New Roman" w:hAnsi="Times New Roman" w:cs="Times New Roman"/>
          <w:color w:val="000000"/>
          <w:sz w:val="24"/>
          <w:szCs w:val="24"/>
        </w:rPr>
        <w:t>BiblioGPT</w:t>
      </w:r>
      <w:proofErr w:type="spellEnd"/>
      <w:r>
        <w:rPr>
          <w:rFonts w:ascii="Times New Roman" w:eastAsia="Times New Roman" w:hAnsi="Times New Roman" w:cs="Times New Roman"/>
          <w:color w:val="000000"/>
          <w:sz w:val="24"/>
          <w:szCs w:val="24"/>
        </w:rPr>
        <w:t xml:space="preserve"> prototype. Their work emphasized protecting user privacy and institutional data by avoiding the risks of public cloud LLMs, proving that limiting AI to a local database through "Knowledge Isolation" is a secure practice.</w:t>
      </w:r>
    </w:p>
    <w:p w14:paraId="3E5F0AF3"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Bodea et al. (2026) created a taxonomy of privacy risks in RAG systems. Their study detailed data leakage, prompt leakage, and database leakage, explaining how processing institutional data locally mitigates these vulnerabilities. The Open Web Application Security Project (OWASP) listed major security risks for LLM applications, including prompt injection and sensitive data disclosure. Their standards provide authoritative justification for strict access controls and data separation in RAG pipelines (OWASP, 2025).</w:t>
      </w:r>
    </w:p>
    <w:p w14:paraId="5F33EB36" w14:textId="77777777" w:rsidR="00114F3B" w:rsidRDefault="00000000">
      <w:pPr>
        <w:spacing w:before="24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b/>
        <w:t xml:space="preserve">To further mitigate institutional data exposure, the system will utilize the Gemini API under deployment terms that prohibit the retention or use of submitted data for model training, ensuring compliance with Google's API data governance policy (Google, 2024). </w:t>
      </w:r>
      <w:r>
        <w:rPr>
          <w:rFonts w:ascii="Times New Roman" w:eastAsia="Times New Roman" w:hAnsi="Times New Roman" w:cs="Times New Roman"/>
          <w:color w:val="000000"/>
          <w:sz w:val="24"/>
          <w:szCs w:val="24"/>
        </w:rPr>
        <w:t xml:space="preserve">Brown et al. (2025) published a highly comprehensive review of 128 RAG studies that categorized evaluation metrics. Their systematic literature review justified the use of precision, recall, F1-score, and LLM-as-a-judge methodologies for evaluating RAG architectures objectively. Es et al. (2024) introduced the RAGAs automated evaluation framework. Their system demo emphasized evaluating both retrieval and generation modules using reference-free metrics without requiring massive human annotation. Ru et al. (2024) proposed </w:t>
      </w:r>
      <w:proofErr w:type="spellStart"/>
      <w:r>
        <w:rPr>
          <w:rFonts w:ascii="Times New Roman" w:eastAsia="Times New Roman" w:hAnsi="Times New Roman" w:cs="Times New Roman"/>
          <w:color w:val="000000"/>
          <w:sz w:val="24"/>
          <w:szCs w:val="24"/>
        </w:rPr>
        <w:t>RAGChecker</w:t>
      </w:r>
      <w:proofErr w:type="spellEnd"/>
      <w:r>
        <w:rPr>
          <w:rFonts w:ascii="Times New Roman" w:eastAsia="Times New Roman" w:hAnsi="Times New Roman" w:cs="Times New Roman"/>
          <w:color w:val="000000"/>
          <w:sz w:val="24"/>
          <w:szCs w:val="24"/>
        </w:rPr>
        <w:t xml:space="preserve">, a fine-grained framework for diagnosing RAG. Their work highlighted claim-level evaluation, helping to separate errors caused by the retriever missing evidence from errors caused by the </w:t>
      </w:r>
      <w:r>
        <w:rPr>
          <w:rFonts w:ascii="Times New Roman" w:eastAsia="Times New Roman" w:hAnsi="Times New Roman" w:cs="Times New Roman"/>
          <w:color w:val="000000"/>
          <w:sz w:val="24"/>
          <w:szCs w:val="24"/>
        </w:rPr>
        <w:lastRenderedPageBreak/>
        <w:t>model hallucinating despite having the correct chunk. These studies show that deploying a thesis library requires strict local knowledge isolation to prevent data leakage, paired with modular automated frameworks to continuously evaluate retrieval precision and generation faithfulness.</w:t>
      </w:r>
    </w:p>
    <w:p w14:paraId="65D355C6"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2.1.7 Synthesis of the Literature</w:t>
      </w:r>
    </w:p>
    <w:p w14:paraId="778E80FE"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reviewed literature converges on several critical findings that collectively establish the theoretical and technical foundation for this study. Across the domains of RAG architecture, LLM hallucination mitigation, traditional library systems, data preprocessing, educational applications, and evaluation frameworks, a consistent pattern emerges: existing academic retrieval systems are fundamentally limited by the absence of an integrated, semantically intelligent pipeline.</w:t>
      </w:r>
    </w:p>
    <w:p w14:paraId="30F777F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studies on RAG architecture (Lewis et al., 2020; Khaliq et al., 2024; </w:t>
      </w:r>
      <w:proofErr w:type="spellStart"/>
      <w:r>
        <w:rPr>
          <w:rFonts w:ascii="Times New Roman" w:eastAsia="Times New Roman" w:hAnsi="Times New Roman" w:cs="Times New Roman"/>
          <w:sz w:val="24"/>
          <w:szCs w:val="24"/>
        </w:rPr>
        <w:t>Mezhlumyan</w:t>
      </w:r>
      <w:proofErr w:type="spellEnd"/>
      <w:r>
        <w:rPr>
          <w:rFonts w:ascii="Times New Roman" w:eastAsia="Times New Roman" w:hAnsi="Times New Roman" w:cs="Times New Roman"/>
          <w:sz w:val="24"/>
          <w:szCs w:val="24"/>
        </w:rPr>
        <w:t>, 2024; Arivazhagan et al., 2023) collectively establish that connecting language models to external document indexes through vector-based retrieval produces significantly more accurate and verifiable outputs than relying on parametric memory alone. These findings are directly reinforced by the hallucination mitigation literature (Kovanen, 2025; Barnett et al., 2024; Wong et al., 2025), which identifies the specific failure modes including fabricated citations, pragmatic misalignment, and the "Lost in the Middle" phenomenon (Liu et al., 2024; Gao et al., 2024) that occur when language models operate without grounded retrieval. Together, these two bodies of research demonstrate that RAG is not merely an enhancement but a necessary architectural constraint for any AI system intended to handle academic queries with factual integrity.</w:t>
      </w:r>
    </w:p>
    <w:p w14:paraId="20C27449"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 literature on traditional library systems (</w:t>
      </w:r>
      <w:proofErr w:type="spellStart"/>
      <w:r>
        <w:rPr>
          <w:rFonts w:ascii="Times New Roman" w:eastAsia="Times New Roman" w:hAnsi="Times New Roman" w:cs="Times New Roman"/>
          <w:sz w:val="24"/>
          <w:szCs w:val="24"/>
        </w:rPr>
        <w:t>Bevara</w:t>
      </w:r>
      <w:proofErr w:type="spellEnd"/>
      <w:r>
        <w:rPr>
          <w:rFonts w:ascii="Times New Roman" w:eastAsia="Times New Roman" w:hAnsi="Times New Roman" w:cs="Times New Roman"/>
          <w:sz w:val="24"/>
          <w:szCs w:val="24"/>
        </w:rPr>
        <w:t xml:space="preserve"> et al., 2025; Xuan &amp; Shaw, 2025; </w:t>
      </w: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xml:space="preserve"> et al., 2023; Sambrano et al., 2025) consistently documents the failure of </w:t>
      </w:r>
      <w:r>
        <w:rPr>
          <w:rFonts w:ascii="Times New Roman" w:eastAsia="Times New Roman" w:hAnsi="Times New Roman" w:cs="Times New Roman"/>
          <w:sz w:val="24"/>
          <w:szCs w:val="24"/>
        </w:rPr>
        <w:lastRenderedPageBreak/>
        <w:t xml:space="preserve">keyword-based OPAC systems to interpret the semantic intent behind complex research queries. This limitation directly connects to the data preprocessing literature (Custer &amp; Sethi, 2017; </w:t>
      </w:r>
      <w:proofErr w:type="spellStart"/>
      <w:r>
        <w:rPr>
          <w:rFonts w:ascii="Times New Roman" w:eastAsia="Times New Roman" w:hAnsi="Times New Roman" w:cs="Times New Roman"/>
          <w:sz w:val="24"/>
          <w:szCs w:val="24"/>
        </w:rPr>
        <w:t>Gokdemir</w:t>
      </w:r>
      <w:proofErr w:type="spellEnd"/>
      <w:r>
        <w:rPr>
          <w:rFonts w:ascii="Times New Roman" w:eastAsia="Times New Roman" w:hAnsi="Times New Roman" w:cs="Times New Roman"/>
          <w:sz w:val="24"/>
          <w:szCs w:val="24"/>
        </w:rPr>
        <w:t xml:space="preserve"> et al., 2025; Aytar et al., 2025), which explains that without layout-aware parsing and semantic structuring, institutional archives become inaccessible "data graveyards." The convergence between these findings establishes a cause-and-effect relationship: rigid keyword systems create the access barrier, while unprocessed data worsens it.</w:t>
      </w:r>
    </w:p>
    <w:p w14:paraId="5EF3CC6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the educational RAG literature (Li, 2025; Oreški &amp; Vlahek, 2024; </w:t>
      </w:r>
      <w:proofErr w:type="spellStart"/>
      <w:r>
        <w:rPr>
          <w:rFonts w:ascii="Times New Roman" w:eastAsia="Times New Roman" w:hAnsi="Times New Roman" w:cs="Times New Roman"/>
          <w:sz w:val="24"/>
          <w:szCs w:val="24"/>
        </w:rPr>
        <w:t>Besrour</w:t>
      </w:r>
      <w:proofErr w:type="spellEnd"/>
      <w:r>
        <w:rPr>
          <w:rFonts w:ascii="Times New Roman" w:eastAsia="Times New Roman" w:hAnsi="Times New Roman" w:cs="Times New Roman"/>
          <w:sz w:val="24"/>
          <w:szCs w:val="24"/>
        </w:rPr>
        <w:t xml:space="preserve"> et al., 2025; Gao et al., 2023) demonstrates that RAG successfully serves as a domain-bounded academic assistant when paired with traceable citations. However, the evaluation and security literature (Brown et al., 2025; Es et al., 2024; Ru et al., 2024; Santra et al., 2025; Bodea et al., 2026; OWASP, 2025) cautions that deployment must include strict local knowledge isolation and automated evaluation frameworks to prevent data leakage and ensure continuous generation faithfulness.</w:t>
      </w:r>
    </w:p>
    <w:p w14:paraId="49F5EBAE"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well-documented findings, the reviewed studies address these challenges largely in isolation. RAG studies focus on general question-answering benchmarks rather than localized institutional theses. Hallucination studies examine model-level errors but rarely contextualize them within academic library retrieval. Traditional library studies identify the semantic gap but stop short of implementing AI solutions. Educational RAG studies operate on curated datasets rather than raw, unstructured, digitized thesis manuscripts. No single study integrates all these components: document digitization, semantic chunking, vector-based retrieval, LLM synthesis with traceable citations, hallucination mitigation, and automated evaluation into a unified, closed-loop pipeline specifically tailored for an institutional thesis archive.</w:t>
      </w:r>
    </w:p>
    <w:p w14:paraId="454A2F10" w14:textId="77777777" w:rsidR="000C3B61" w:rsidRDefault="000C3B61">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p>
    <w:p w14:paraId="7A5F3EA2" w14:textId="42B8C429"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lastRenderedPageBreak/>
        <w:t>2.1.8 Gap and Relevance to the Study</w:t>
      </w:r>
    </w:p>
    <w:p w14:paraId="32F2D78C"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the specific gap that the present study addresses. Existing university</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library systems rarely integrate a complete, closed-loop RAG pipeline specifically designed to process digitized academic theses using vector databases for semantic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indexing and LLMs for citation-backed synthesis. Most commercial LLMs suffer from</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ungrounded hallucinations because they lack access to local institutional databases, while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traditional OPACs lack the natural language understanding needed for complex academic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discovery. The proposed system bridges this gap by utilizing </w:t>
      </w:r>
      <w:proofErr w:type="spellStart"/>
      <w:r>
        <w:rPr>
          <w:rFonts w:ascii="Times New Roman" w:eastAsia="Times New Roman" w:hAnsi="Times New Roman" w:cs="Times New Roman"/>
          <w:color w:val="000000"/>
          <w:sz w:val="24"/>
          <w:szCs w:val="24"/>
        </w:rPr>
        <w:t>LangChain's</w:t>
      </w:r>
      <w:proofErr w:type="spellEnd"/>
      <w:r>
        <w:rPr>
          <w:rFonts w:ascii="Times New Roman" w:eastAsia="Times New Roman" w:hAnsi="Times New Roman" w:cs="Times New Roman"/>
          <w:color w:val="000000"/>
          <w:sz w:val="24"/>
          <w:szCs w:val="24"/>
        </w:rPr>
        <w:t xml:space="preserve"> document</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loaders to process digitized CCSICT theses, a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vector database for semantic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indexing, and an LLM constrained entirely to this localized context. By combining these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technologies, the system will provide faster RRL writing, easy topic validation,</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automated redundancy checking, and will statistically minimize AI hallucinations</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regarding local references, thereby cultivating a high-standard research culture.</w:t>
      </w:r>
    </w:p>
    <w:p w14:paraId="2943D1BB"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From a Data Mining perspective, the vectorization of unstructured thesis PDFs constitutes a form of unsupervised feature extraction, a core data mining technique. The subsequent nearest-neighbor retrieval using Cosine Similarity mirrors the classification and clustering paradigms foundational to data mining methodology. This positions the study firmly within the Data Mining track by applying mathematical text-mining operations to extract actionable knowledge from previously inaccessible institutional archives.</w:t>
      </w:r>
    </w:p>
    <w:p w14:paraId="29D1AB6E"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 Conceptual Framework</w:t>
      </w:r>
    </w:p>
    <w:p w14:paraId="6BAA732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of this study is structured into four distinct Input-Process-Output (IPO) models, directly mapping to the study's specific objectives. This modular approach outlines the logical progression from theoretical conceptualization to final system evaluation.</w:t>
      </w:r>
    </w:p>
    <w:p w14:paraId="051070FE"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 3</w:t>
      </w:r>
    </w:p>
    <w:p w14:paraId="3429C725" w14:textId="5C870E81" w:rsidR="00114F3B" w:rsidRPr="000C3B61"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Objective 1: Foundational Architecture</w:t>
      </w:r>
      <w:r>
        <w:rPr>
          <w:noProof/>
        </w:rPr>
        <w:drawing>
          <wp:anchor distT="0" distB="0" distL="114300" distR="114300" simplePos="0" relativeHeight="251660288" behindDoc="0" locked="0" layoutInCell="1" hidden="0" allowOverlap="1" wp14:anchorId="26F1F126" wp14:editId="2ABCF428">
            <wp:simplePos x="0" y="0"/>
            <wp:positionH relativeFrom="column">
              <wp:posOffset>1</wp:posOffset>
            </wp:positionH>
            <wp:positionV relativeFrom="paragraph">
              <wp:posOffset>336758</wp:posOffset>
            </wp:positionV>
            <wp:extent cx="5731510" cy="3372485"/>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t="12248"/>
                    <a:stretch>
                      <a:fillRect/>
                    </a:stretch>
                  </pic:blipFill>
                  <pic:spPr>
                    <a:xfrm>
                      <a:off x="0" y="0"/>
                      <a:ext cx="5731510" cy="3372485"/>
                    </a:xfrm>
                    <a:prstGeom prst="rect">
                      <a:avLst/>
                    </a:prstGeom>
                    <a:ln/>
                  </pic:spPr>
                </pic:pic>
              </a:graphicData>
            </a:graphic>
          </wp:anchor>
        </w:drawing>
      </w:r>
    </w:p>
    <w:p w14:paraId="41C9A2F2"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3, the Input relies on the </w:t>
      </w:r>
      <w:proofErr w:type="spellStart"/>
      <w:r>
        <w:rPr>
          <w:rFonts w:ascii="Times New Roman" w:eastAsia="Times New Roman" w:hAnsi="Times New Roman" w:cs="Times New Roman"/>
          <w:i/>
          <w:iCs/>
          <w:sz w:val="24"/>
          <w:szCs w:val="24"/>
        </w:rPr>
        <w:t>LangChain</w:t>
      </w:r>
      <w:proofErr w:type="spellEnd"/>
      <w:r>
        <w:rPr>
          <w:rFonts w:ascii="Times New Roman" w:eastAsia="Times New Roman" w:hAnsi="Times New Roman" w:cs="Times New Roman"/>
          <w:i/>
          <w:iCs/>
          <w:sz w:val="24"/>
          <w:szCs w:val="24"/>
        </w:rPr>
        <w:t xml:space="preserve"> Framework</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RAG + LLM Integration</w:t>
      </w:r>
      <w:r>
        <w:rPr>
          <w:rFonts w:ascii="Times New Roman" w:eastAsia="Times New Roman" w:hAnsi="Times New Roman" w:cs="Times New Roman"/>
          <w:sz w:val="24"/>
          <w:szCs w:val="24"/>
        </w:rPr>
        <w:t xml:space="preserve"> theoretical guidelines, which serve as the primary foundational software dependencies required to conceptualize the new knowledge retrieval model. The Process involves </w:t>
      </w:r>
      <w:r>
        <w:rPr>
          <w:rFonts w:ascii="Times New Roman" w:eastAsia="Times New Roman" w:hAnsi="Times New Roman" w:cs="Times New Roman"/>
          <w:i/>
          <w:iCs/>
          <w:sz w:val="24"/>
          <w:szCs w:val="24"/>
        </w:rPr>
        <w:t>Theoretical Conceptualization</w:t>
      </w:r>
      <w:r>
        <w:rPr>
          <w:rFonts w:ascii="Times New Roman" w:eastAsia="Times New Roman" w:hAnsi="Times New Roman" w:cs="Times New Roman"/>
          <w:sz w:val="24"/>
          <w:szCs w:val="24"/>
        </w:rPr>
        <w:t xml:space="preserve">, conducted by integrating Retrieval-Augmented Generation capabilities over base Large Language Model architectures to construct the retrieval pipeline. The Output of this phase yields the mathematically and structurally defined </w:t>
      </w:r>
      <w:r>
        <w:rPr>
          <w:rFonts w:ascii="Times New Roman" w:eastAsia="Times New Roman" w:hAnsi="Times New Roman" w:cs="Times New Roman"/>
          <w:i/>
          <w:iCs/>
          <w:sz w:val="24"/>
          <w:szCs w:val="24"/>
        </w:rPr>
        <w:t>LLM + RAG Model (Proposed Architecture)</w:t>
      </w:r>
      <w:r>
        <w:rPr>
          <w:rFonts w:ascii="Times New Roman" w:eastAsia="Times New Roman" w:hAnsi="Times New Roman" w:cs="Times New Roman"/>
          <w:sz w:val="24"/>
          <w:szCs w:val="24"/>
        </w:rPr>
        <w:t>, which acts as the blueprint for subsequent testing.</w:t>
      </w:r>
    </w:p>
    <w:p w14:paraId="6F7CE2D8" w14:textId="77777777" w:rsidR="00114F3B" w:rsidRDefault="00114F3B">
      <w:pPr>
        <w:spacing w:before="240" w:line="480" w:lineRule="auto"/>
        <w:jc w:val="both"/>
        <w:rPr>
          <w:rFonts w:ascii="Times New Roman" w:eastAsia="Times New Roman" w:hAnsi="Times New Roman" w:cs="Times New Roman"/>
          <w:b/>
          <w:bCs/>
          <w:sz w:val="24"/>
          <w:szCs w:val="24"/>
        </w:rPr>
      </w:pPr>
    </w:p>
    <w:p w14:paraId="6F54E9D7" w14:textId="77777777" w:rsidR="000C3B61" w:rsidRDefault="000C3B61">
      <w:pPr>
        <w:spacing w:before="240" w:line="480" w:lineRule="auto"/>
        <w:jc w:val="both"/>
        <w:rPr>
          <w:rFonts w:ascii="Times New Roman" w:eastAsia="Times New Roman" w:hAnsi="Times New Roman" w:cs="Times New Roman"/>
          <w:b/>
          <w:bCs/>
          <w:sz w:val="24"/>
          <w:szCs w:val="24"/>
        </w:rPr>
      </w:pPr>
    </w:p>
    <w:p w14:paraId="1D08252E" w14:textId="77777777" w:rsidR="000C3B61" w:rsidRDefault="000C3B61">
      <w:pPr>
        <w:spacing w:before="240" w:line="480" w:lineRule="auto"/>
        <w:jc w:val="both"/>
        <w:rPr>
          <w:rFonts w:ascii="Times New Roman" w:eastAsia="Times New Roman" w:hAnsi="Times New Roman" w:cs="Times New Roman"/>
          <w:b/>
          <w:bCs/>
          <w:sz w:val="24"/>
          <w:szCs w:val="24"/>
        </w:rPr>
      </w:pPr>
    </w:p>
    <w:p w14:paraId="0DFA91CD" w14:textId="77777777" w:rsidR="000C3B61" w:rsidRDefault="000C3B61">
      <w:pPr>
        <w:spacing w:before="240" w:line="480" w:lineRule="auto"/>
        <w:jc w:val="both"/>
        <w:rPr>
          <w:rFonts w:ascii="Times New Roman" w:eastAsia="Times New Roman" w:hAnsi="Times New Roman" w:cs="Times New Roman"/>
          <w:b/>
          <w:bCs/>
          <w:sz w:val="24"/>
          <w:szCs w:val="24"/>
        </w:rPr>
      </w:pPr>
    </w:p>
    <w:p w14:paraId="25177CDE" w14:textId="44445EED"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4</w:t>
      </w:r>
      <w:r>
        <w:rPr>
          <w:rFonts w:ascii="Times New Roman" w:eastAsia="Times New Roman" w:hAnsi="Times New Roman" w:cs="Times New Roman"/>
          <w:sz w:val="24"/>
          <w:szCs w:val="24"/>
        </w:rPr>
        <w:t xml:space="preserve"> </w:t>
      </w:r>
    </w:p>
    <w:p w14:paraId="111E28FE"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Objective 2: Comparative Performance Analysis</w:t>
      </w:r>
      <w:r>
        <w:rPr>
          <w:noProof/>
        </w:rPr>
        <w:drawing>
          <wp:anchor distT="0" distB="0" distL="114300" distR="114300" simplePos="0" relativeHeight="251661312" behindDoc="0" locked="0" layoutInCell="1" hidden="0" allowOverlap="1" wp14:anchorId="2DEF6299" wp14:editId="53A646AC">
            <wp:simplePos x="0" y="0"/>
            <wp:positionH relativeFrom="column">
              <wp:posOffset>636</wp:posOffset>
            </wp:positionH>
            <wp:positionV relativeFrom="paragraph">
              <wp:posOffset>384439</wp:posOffset>
            </wp:positionV>
            <wp:extent cx="5730875" cy="3390900"/>
            <wp:effectExtent l="0" t="0" r="0" b="0"/>
            <wp:wrapSquare wrapText="bothSides" distT="0" distB="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11777"/>
                    <a:stretch>
                      <a:fillRect/>
                    </a:stretch>
                  </pic:blipFill>
                  <pic:spPr>
                    <a:xfrm>
                      <a:off x="0" y="0"/>
                      <a:ext cx="5730875" cy="3390900"/>
                    </a:xfrm>
                    <a:prstGeom prst="rect">
                      <a:avLst/>
                    </a:prstGeom>
                    <a:ln/>
                  </pic:spPr>
                </pic:pic>
              </a:graphicData>
            </a:graphic>
          </wp:anchor>
        </w:drawing>
      </w:r>
    </w:p>
    <w:p w14:paraId="4D1751AB" w14:textId="77777777" w:rsidR="00114F3B" w:rsidRDefault="00114F3B">
      <w:pPr>
        <w:spacing w:before="240" w:line="480" w:lineRule="auto"/>
        <w:ind w:firstLine="720"/>
        <w:jc w:val="both"/>
        <w:rPr>
          <w:rFonts w:ascii="Times New Roman" w:eastAsia="Times New Roman" w:hAnsi="Times New Roman" w:cs="Times New Roman"/>
          <w:sz w:val="24"/>
          <w:szCs w:val="24"/>
        </w:rPr>
      </w:pPr>
    </w:p>
    <w:p w14:paraId="12A4EC35"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4, the Input utilizes </w:t>
      </w:r>
      <w:r>
        <w:rPr>
          <w:rFonts w:ascii="Times New Roman" w:eastAsia="Times New Roman" w:hAnsi="Times New Roman" w:cs="Times New Roman"/>
          <w:i/>
          <w:iCs/>
          <w:sz w:val="24"/>
          <w:szCs w:val="24"/>
        </w:rPr>
        <w:t>Institutional Queries</w:t>
      </w:r>
      <w:r>
        <w:rPr>
          <w:rFonts w:ascii="Times New Roman" w:eastAsia="Times New Roman" w:hAnsi="Times New Roman" w:cs="Times New Roman"/>
          <w:sz w:val="24"/>
          <w:szCs w:val="24"/>
        </w:rPr>
        <w:t xml:space="preserve"> representing the primary real-world data, which are assessed using established </w:t>
      </w:r>
      <w:r>
        <w:rPr>
          <w:rFonts w:ascii="Times New Roman" w:eastAsia="Times New Roman" w:hAnsi="Times New Roman" w:cs="Times New Roman"/>
          <w:i/>
          <w:iCs/>
          <w:sz w:val="24"/>
          <w:szCs w:val="24"/>
        </w:rPr>
        <w:t>Evaluation Tools &amp; Metrics</w:t>
      </w:r>
      <w:r>
        <w:rPr>
          <w:rFonts w:ascii="Times New Roman" w:eastAsia="Times New Roman" w:hAnsi="Times New Roman" w:cs="Times New Roman"/>
          <w:sz w:val="24"/>
          <w:szCs w:val="24"/>
        </w:rPr>
        <w:t xml:space="preserve"> to create a structured comparative testing environment. The Process involves a rigorous </w:t>
      </w:r>
      <w:r>
        <w:rPr>
          <w:rFonts w:ascii="Times New Roman" w:eastAsia="Times New Roman" w:hAnsi="Times New Roman" w:cs="Times New Roman"/>
          <w:i/>
          <w:iCs/>
          <w:sz w:val="24"/>
          <w:szCs w:val="24"/>
        </w:rPr>
        <w:t>Comparative Analysis</w:t>
      </w:r>
      <w:r>
        <w:rPr>
          <w:rFonts w:ascii="Times New Roman" w:eastAsia="Times New Roman" w:hAnsi="Times New Roman" w:cs="Times New Roman"/>
          <w:sz w:val="24"/>
          <w:szCs w:val="24"/>
        </w:rPr>
        <w:t xml:space="preserve"> following a logical progression of scientific testing, evaluating the side-by-side performance differences between the baseline and the newly integrated model. The Output generated from this phase structures the empirical data into definitive metrics, specifically quantifying the models' capabilities in extending </w:t>
      </w:r>
      <w:r>
        <w:rPr>
          <w:rFonts w:ascii="Times New Roman" w:eastAsia="Times New Roman" w:hAnsi="Times New Roman" w:cs="Times New Roman"/>
          <w:i/>
          <w:iCs/>
          <w:sz w:val="24"/>
          <w:szCs w:val="24"/>
        </w:rPr>
        <w:t>Factual Accuracy</w:t>
      </w:r>
      <w:r>
        <w:rPr>
          <w:rFonts w:ascii="Times New Roman" w:eastAsia="Times New Roman" w:hAnsi="Times New Roman" w:cs="Times New Roman"/>
          <w:sz w:val="24"/>
          <w:szCs w:val="24"/>
        </w:rPr>
        <w:t xml:space="preserve"> and enabling </w:t>
      </w:r>
      <w:r>
        <w:rPr>
          <w:rFonts w:ascii="Times New Roman" w:eastAsia="Times New Roman" w:hAnsi="Times New Roman" w:cs="Times New Roman"/>
          <w:i/>
          <w:iCs/>
          <w:sz w:val="24"/>
          <w:szCs w:val="24"/>
        </w:rPr>
        <w:t>Hallucination Mitigation</w:t>
      </w:r>
      <w:r>
        <w:rPr>
          <w:rFonts w:ascii="Times New Roman" w:eastAsia="Times New Roman" w:hAnsi="Times New Roman" w:cs="Times New Roman"/>
          <w:sz w:val="24"/>
          <w:szCs w:val="24"/>
        </w:rPr>
        <w:t>.</w:t>
      </w:r>
    </w:p>
    <w:p w14:paraId="5C0673FC" w14:textId="77777777" w:rsidR="00114F3B" w:rsidRDefault="00114F3B">
      <w:pPr>
        <w:spacing w:before="240" w:line="480" w:lineRule="auto"/>
        <w:jc w:val="both"/>
        <w:rPr>
          <w:rFonts w:ascii="Times New Roman" w:eastAsia="Times New Roman" w:hAnsi="Times New Roman" w:cs="Times New Roman"/>
          <w:b/>
          <w:bCs/>
          <w:sz w:val="24"/>
          <w:szCs w:val="24"/>
        </w:rPr>
      </w:pPr>
    </w:p>
    <w:p w14:paraId="7E9C765D" w14:textId="77777777" w:rsidR="00114F3B" w:rsidRDefault="00114F3B">
      <w:pPr>
        <w:spacing w:before="240" w:line="480" w:lineRule="auto"/>
        <w:jc w:val="both"/>
        <w:rPr>
          <w:rFonts w:ascii="Times New Roman" w:eastAsia="Times New Roman" w:hAnsi="Times New Roman" w:cs="Times New Roman"/>
          <w:b/>
          <w:bCs/>
          <w:sz w:val="24"/>
          <w:szCs w:val="24"/>
        </w:rPr>
      </w:pPr>
    </w:p>
    <w:p w14:paraId="6B9CBB83"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5</w:t>
      </w:r>
      <w:r>
        <w:rPr>
          <w:rFonts w:ascii="Times New Roman" w:eastAsia="Times New Roman" w:hAnsi="Times New Roman" w:cs="Times New Roman"/>
          <w:sz w:val="24"/>
          <w:szCs w:val="24"/>
        </w:rPr>
        <w:t xml:space="preserve"> </w:t>
      </w:r>
    </w:p>
    <w:p w14:paraId="76D279F0"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Objective 3: System Integration</w:t>
      </w:r>
      <w:r>
        <w:rPr>
          <w:noProof/>
        </w:rPr>
        <w:drawing>
          <wp:anchor distT="0" distB="0" distL="114300" distR="114300" simplePos="0" relativeHeight="251662336" behindDoc="0" locked="0" layoutInCell="1" hidden="0" allowOverlap="1" wp14:anchorId="2CF20C14" wp14:editId="5CC61BB4">
            <wp:simplePos x="0" y="0"/>
            <wp:positionH relativeFrom="column">
              <wp:posOffset>1906</wp:posOffset>
            </wp:positionH>
            <wp:positionV relativeFrom="paragraph">
              <wp:posOffset>411222</wp:posOffset>
            </wp:positionV>
            <wp:extent cx="5729605" cy="3348990"/>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t="12719" b="125"/>
                    <a:stretch>
                      <a:fillRect/>
                    </a:stretch>
                  </pic:blipFill>
                  <pic:spPr>
                    <a:xfrm>
                      <a:off x="0" y="0"/>
                      <a:ext cx="5729605" cy="3348990"/>
                    </a:xfrm>
                    <a:prstGeom prst="rect">
                      <a:avLst/>
                    </a:prstGeom>
                    <a:ln/>
                  </pic:spPr>
                </pic:pic>
              </a:graphicData>
            </a:graphic>
          </wp:anchor>
        </w:drawing>
      </w:r>
    </w:p>
    <w:p w14:paraId="039CD504" w14:textId="77777777" w:rsidR="00114F3B" w:rsidRDefault="00114F3B">
      <w:pPr>
        <w:spacing w:before="240" w:line="480" w:lineRule="auto"/>
        <w:ind w:firstLine="720"/>
        <w:jc w:val="both"/>
        <w:rPr>
          <w:rFonts w:ascii="Times New Roman" w:eastAsia="Times New Roman" w:hAnsi="Times New Roman" w:cs="Times New Roman"/>
          <w:b/>
          <w:bCs/>
          <w:color w:val="000000"/>
          <w:sz w:val="24"/>
          <w:szCs w:val="24"/>
        </w:rPr>
      </w:pPr>
    </w:p>
    <w:p w14:paraId="32A4B26D" w14:textId="77777777" w:rsidR="00114F3B" w:rsidRDefault="00000000">
      <w:pPr>
        <w:spacing w:before="24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illustrated in Figure </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the Input takes the validated Developed Model (LLM + RAG), combined with requisite Software &amp; Hardware Tools, to provide the technical fundamentals needed to construct the complete software application. The Process of System Development acts as the core full-stack engineering stage. This involves embedding the optimized artificial intelligence framework into a tangible, integrated web-based platform. The Output yields the finalized, operational Centralized AI-Powered Thesis Library System as the primary tangible product of the study.</w:t>
      </w:r>
    </w:p>
    <w:p w14:paraId="735DCD5F"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709CA42E"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44535D7D"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4D366A16" w14:textId="77777777" w:rsidR="00114F3B" w:rsidRDefault="00000000">
      <w:pPr>
        <w:spacing w:before="24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Figure </w:t>
      </w:r>
      <w:r>
        <w:rPr>
          <w:rFonts w:ascii="Times New Roman" w:eastAsia="Times New Roman" w:hAnsi="Times New Roman" w:cs="Times New Roman"/>
          <w:b/>
          <w:bCs/>
          <w:sz w:val="24"/>
          <w:szCs w:val="24"/>
        </w:rPr>
        <w:t>6</w:t>
      </w:r>
      <w:r>
        <w:rPr>
          <w:rFonts w:ascii="Times New Roman" w:eastAsia="Times New Roman" w:hAnsi="Times New Roman" w:cs="Times New Roman"/>
          <w:color w:val="000000"/>
          <w:sz w:val="24"/>
          <w:szCs w:val="24"/>
        </w:rPr>
        <w:t xml:space="preserve"> </w:t>
      </w:r>
    </w:p>
    <w:p w14:paraId="3B90BA7D" w14:textId="49365FCD" w:rsidR="00114F3B" w:rsidRDefault="00331F0F">
      <w:pPr>
        <w:spacing w:before="240" w:line="480" w:lineRule="auto"/>
        <w:jc w:val="both"/>
        <w:rPr>
          <w:rFonts w:ascii="Times New Roman" w:eastAsia="Times New Roman" w:hAnsi="Times New Roman" w:cs="Times New Roman"/>
          <w:color w:val="000000"/>
          <w:sz w:val="24"/>
          <w:szCs w:val="24"/>
        </w:rPr>
      </w:pPr>
      <w:r>
        <w:rPr>
          <w:noProof/>
        </w:rPr>
        <w:drawing>
          <wp:anchor distT="0" distB="0" distL="114300" distR="114300" simplePos="0" relativeHeight="251663360" behindDoc="0" locked="0" layoutInCell="1" hidden="0" allowOverlap="1" wp14:anchorId="3721AA53" wp14:editId="1C8EEA8B">
            <wp:simplePos x="0" y="0"/>
            <wp:positionH relativeFrom="column">
              <wp:posOffset>0</wp:posOffset>
            </wp:positionH>
            <wp:positionV relativeFrom="paragraph">
              <wp:posOffset>516255</wp:posOffset>
            </wp:positionV>
            <wp:extent cx="5734050" cy="3445510"/>
            <wp:effectExtent l="0" t="0" r="0" b="2540"/>
            <wp:wrapSquare wrapText="bothSides" distT="0" distB="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4" cstate="print">
                      <a:extLst>
                        <a:ext uri="{28A0092B-C50C-407E-A947-70E740481C1C}">
                          <a14:useLocalDpi xmlns:a14="http://schemas.microsoft.com/office/drawing/2010/main" val="0"/>
                        </a:ext>
                      </a:extLst>
                    </a:blip>
                    <a:srcRect l="231" r="231"/>
                    <a:stretch>
                      <a:fillRect/>
                    </a:stretch>
                  </pic:blipFill>
                  <pic:spPr>
                    <a:xfrm>
                      <a:off x="0" y="0"/>
                      <a:ext cx="5734050" cy="3445510"/>
                    </a:xfrm>
                    <a:prstGeom prst="rect">
                      <a:avLst/>
                    </a:prstGeom>
                    <a:ln/>
                  </pic:spPr>
                </pic:pic>
              </a:graphicData>
            </a:graphic>
          </wp:anchor>
        </w:drawing>
      </w:r>
      <w:r>
        <w:rPr>
          <w:rFonts w:ascii="Times New Roman" w:eastAsia="Times New Roman" w:hAnsi="Times New Roman" w:cs="Times New Roman"/>
          <w:i/>
          <w:iCs/>
          <w:color w:val="000000"/>
          <w:sz w:val="24"/>
          <w:szCs w:val="24"/>
        </w:rPr>
        <w:t>Objective 4: Formal Quality Evaluation</w:t>
      </w:r>
    </w:p>
    <w:p w14:paraId="3A4F27D9" w14:textId="2E45DCDA" w:rsidR="00114F3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6, the Input for the final phase is the completely </w:t>
      </w:r>
      <w:r>
        <w:rPr>
          <w:rFonts w:ascii="Times New Roman" w:eastAsia="Times New Roman" w:hAnsi="Times New Roman" w:cs="Times New Roman"/>
          <w:i/>
          <w:iCs/>
          <w:sz w:val="24"/>
          <w:szCs w:val="24"/>
        </w:rPr>
        <w:t>Developed System</w:t>
      </w:r>
      <w:r>
        <w:rPr>
          <w:rFonts w:ascii="Times New Roman" w:eastAsia="Times New Roman" w:hAnsi="Times New Roman" w:cs="Times New Roman"/>
          <w:sz w:val="24"/>
          <w:szCs w:val="24"/>
        </w:rPr>
        <w:t xml:space="preserve">, which acts as the final subject requirement deployed into a controlled testing environment and subjected to automated software testing tools. The Process involves structured computational assessment procedures conducted following the standardized guidelines specified by the </w:t>
      </w:r>
      <w:r>
        <w:rPr>
          <w:rFonts w:ascii="Times New Roman" w:eastAsia="Times New Roman" w:hAnsi="Times New Roman" w:cs="Times New Roman"/>
          <w:i/>
          <w:iCs/>
          <w:sz w:val="24"/>
          <w:szCs w:val="24"/>
        </w:rPr>
        <w:t>ISO/IEC 25010</w:t>
      </w:r>
      <w:r>
        <w:rPr>
          <w:rFonts w:ascii="Times New Roman" w:eastAsia="Times New Roman" w:hAnsi="Times New Roman" w:cs="Times New Roman"/>
          <w:sz w:val="24"/>
          <w:szCs w:val="24"/>
        </w:rPr>
        <w:t xml:space="preserve"> software product quality standard. Finally, the Output definitively generates empirical computational metrics, strictly evaluating the deployed software's </w:t>
      </w:r>
      <w:r>
        <w:rPr>
          <w:rFonts w:ascii="Times New Roman" w:eastAsia="Times New Roman" w:hAnsi="Times New Roman" w:cs="Times New Roman"/>
          <w:i/>
          <w:iCs/>
          <w:sz w:val="24"/>
          <w:szCs w:val="24"/>
        </w:rPr>
        <w:t>Functional Suitability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Performance Efficiency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Reliability</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 xml:space="preserve">Maintainability </w:t>
      </w:r>
      <w:r>
        <w:rPr>
          <w:rFonts w:ascii="Times New Roman" w:eastAsia="Times New Roman" w:hAnsi="Times New Roman" w:cs="Times New Roman"/>
          <w:sz w:val="24"/>
          <w:szCs w:val="24"/>
        </w:rPr>
        <w:t>through automated software testing tools.</w:t>
      </w:r>
    </w:p>
    <w:p w14:paraId="09B892E4" w14:textId="77777777" w:rsidR="00114F3B" w:rsidRDefault="00114F3B">
      <w:pPr>
        <w:spacing w:before="240" w:line="480" w:lineRule="auto"/>
        <w:ind w:firstLine="720"/>
        <w:jc w:val="both"/>
        <w:rPr>
          <w:rFonts w:ascii="Times New Roman" w:eastAsia="Times New Roman" w:hAnsi="Times New Roman" w:cs="Times New Roman"/>
          <w:sz w:val="24"/>
          <w:szCs w:val="24"/>
        </w:rPr>
      </w:pPr>
    </w:p>
    <w:p w14:paraId="08E7ED41" w14:textId="77777777" w:rsidR="00114F3B" w:rsidRDefault="00114F3B">
      <w:pPr>
        <w:spacing w:before="240" w:line="480" w:lineRule="auto"/>
        <w:jc w:val="both"/>
        <w:rPr>
          <w:rFonts w:ascii="Times New Roman" w:eastAsia="Times New Roman" w:hAnsi="Times New Roman" w:cs="Times New Roman"/>
          <w:b/>
          <w:bCs/>
          <w:sz w:val="24"/>
          <w:szCs w:val="24"/>
        </w:rPr>
      </w:pPr>
    </w:p>
    <w:p w14:paraId="44858179" w14:textId="77777777" w:rsidR="00114F3B" w:rsidRDefault="00114F3B">
      <w:pPr>
        <w:spacing w:line="480" w:lineRule="auto"/>
        <w:rPr>
          <w:rFonts w:ascii="Times New Roman" w:eastAsia="Times New Roman" w:hAnsi="Times New Roman" w:cs="Times New Roman"/>
          <w:b/>
          <w:bCs/>
          <w:sz w:val="24"/>
          <w:szCs w:val="24"/>
        </w:rPr>
      </w:pPr>
    </w:p>
    <w:p w14:paraId="50C4D4E6" w14:textId="77777777" w:rsidR="00114F3B" w:rsidRDefault="00114F3B">
      <w:pPr>
        <w:spacing w:line="480" w:lineRule="auto"/>
        <w:rPr>
          <w:rFonts w:ascii="Times New Roman" w:eastAsia="Times New Roman" w:hAnsi="Times New Roman" w:cs="Times New Roman"/>
          <w:b/>
          <w:bCs/>
          <w:sz w:val="24"/>
          <w:szCs w:val="24"/>
        </w:rPr>
      </w:pPr>
    </w:p>
    <w:p w14:paraId="2A286282" w14:textId="77777777" w:rsidR="00114F3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3</w:t>
      </w:r>
    </w:p>
    <w:p w14:paraId="6A57DEBB" w14:textId="77777777" w:rsidR="00114F3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48088D0A"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Materials</w:t>
      </w:r>
    </w:p>
    <w:p w14:paraId="0B17A20F"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3.1.1 Software</w:t>
      </w:r>
    </w:p>
    <w:p w14:paraId="24B0E2BB"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programming and deployment phases, the researchers will utilize a specific stack of development tools and cloud services. Visual Studio Code will serve as the primary integrated development environment (IDE) used to write, edit, and organize the system's source code.</w:t>
      </w:r>
    </w:p>
    <w:p w14:paraId="30F6EC23"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p>
    <w:p w14:paraId="0BCDCA24"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Frontend Development Stack</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8"/>
        <w:gridCol w:w="1805"/>
        <w:gridCol w:w="5132"/>
      </w:tblGrid>
      <w:tr w:rsidR="00114F3B" w14:paraId="2354C815" w14:textId="77777777">
        <w:trPr>
          <w:trHeight w:val="795"/>
        </w:trPr>
        <w:tc>
          <w:tcPr>
            <w:tcW w:w="2088" w:type="dxa"/>
            <w:tcBorders>
              <w:top w:val="single" w:sz="5" w:space="0" w:color="000000"/>
              <w:left w:val="nil"/>
              <w:bottom w:val="single" w:sz="5" w:space="0" w:color="000000"/>
              <w:right w:val="nil"/>
            </w:tcBorders>
            <w:tcMar>
              <w:top w:w="0" w:type="dxa"/>
              <w:left w:w="100" w:type="dxa"/>
              <w:bottom w:w="0" w:type="dxa"/>
              <w:right w:w="100" w:type="dxa"/>
            </w:tcMar>
          </w:tcPr>
          <w:p w14:paraId="70D08F3B"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1805" w:type="dxa"/>
            <w:tcBorders>
              <w:top w:val="single" w:sz="5" w:space="0" w:color="000000"/>
              <w:left w:val="nil"/>
              <w:bottom w:val="single" w:sz="5" w:space="0" w:color="000000"/>
              <w:right w:val="nil"/>
            </w:tcBorders>
            <w:tcMar>
              <w:top w:w="0" w:type="dxa"/>
              <w:left w:w="100" w:type="dxa"/>
              <w:bottom w:w="0" w:type="dxa"/>
              <w:right w:w="100" w:type="dxa"/>
            </w:tcMar>
          </w:tcPr>
          <w:p w14:paraId="0C13C791"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5131" w:type="dxa"/>
            <w:tcBorders>
              <w:top w:val="single" w:sz="5" w:space="0" w:color="000000"/>
              <w:left w:val="nil"/>
              <w:bottom w:val="single" w:sz="5" w:space="0" w:color="000000"/>
              <w:right w:val="nil"/>
            </w:tcBorders>
            <w:tcMar>
              <w:top w:w="0" w:type="dxa"/>
              <w:left w:w="100" w:type="dxa"/>
              <w:bottom w:w="0" w:type="dxa"/>
              <w:right w:w="100" w:type="dxa"/>
            </w:tcMar>
          </w:tcPr>
          <w:p w14:paraId="6DDBC65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7A27A20C" w14:textId="77777777">
        <w:trPr>
          <w:trHeight w:val="1740"/>
        </w:trPr>
        <w:tc>
          <w:tcPr>
            <w:tcW w:w="2088" w:type="dxa"/>
            <w:tcBorders>
              <w:top w:val="nil"/>
              <w:left w:val="nil"/>
              <w:bottom w:val="nil"/>
              <w:right w:val="nil"/>
            </w:tcBorders>
            <w:tcMar>
              <w:top w:w="0" w:type="dxa"/>
              <w:left w:w="100" w:type="dxa"/>
              <w:bottom w:w="0" w:type="dxa"/>
              <w:right w:w="100" w:type="dxa"/>
            </w:tcMar>
          </w:tcPr>
          <w:p w14:paraId="068C8468"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w:t>
            </w:r>
          </w:p>
        </w:tc>
        <w:tc>
          <w:tcPr>
            <w:tcW w:w="1805" w:type="dxa"/>
            <w:tcBorders>
              <w:top w:val="nil"/>
              <w:left w:val="nil"/>
              <w:bottom w:val="nil"/>
              <w:right w:val="nil"/>
            </w:tcBorders>
            <w:tcMar>
              <w:top w:w="0" w:type="dxa"/>
              <w:left w:w="100" w:type="dxa"/>
              <w:bottom w:w="0" w:type="dxa"/>
              <w:right w:w="100" w:type="dxa"/>
            </w:tcMar>
          </w:tcPr>
          <w:p w14:paraId="57C034CA"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v19.2.5</w:t>
            </w:r>
          </w:p>
        </w:tc>
        <w:tc>
          <w:tcPr>
            <w:tcW w:w="5131" w:type="dxa"/>
            <w:tcBorders>
              <w:top w:val="nil"/>
              <w:left w:val="nil"/>
              <w:bottom w:val="nil"/>
              <w:right w:val="nil"/>
            </w:tcBorders>
            <w:tcMar>
              <w:top w:w="0" w:type="dxa"/>
              <w:left w:w="100" w:type="dxa"/>
              <w:bottom w:w="0" w:type="dxa"/>
              <w:right w:w="100" w:type="dxa"/>
            </w:tcMar>
          </w:tcPr>
          <w:p w14:paraId="03B60D44"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serve as the primary library for developing a component-based, highly responsive user interface for student researchers.</w:t>
            </w:r>
          </w:p>
        </w:tc>
      </w:tr>
      <w:tr w:rsidR="00114F3B" w14:paraId="74C63C20" w14:textId="77777777">
        <w:trPr>
          <w:trHeight w:val="1740"/>
        </w:trPr>
        <w:tc>
          <w:tcPr>
            <w:tcW w:w="2088" w:type="dxa"/>
            <w:tcBorders>
              <w:top w:val="nil"/>
              <w:left w:val="nil"/>
              <w:bottom w:val="nil"/>
              <w:right w:val="nil"/>
            </w:tcBorders>
            <w:tcMar>
              <w:top w:w="0" w:type="dxa"/>
              <w:left w:w="100" w:type="dxa"/>
              <w:bottom w:w="0" w:type="dxa"/>
              <w:right w:w="100" w:type="dxa"/>
            </w:tcMar>
          </w:tcPr>
          <w:p w14:paraId="5D8096FA"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(JSX)</w:t>
            </w:r>
          </w:p>
        </w:tc>
        <w:tc>
          <w:tcPr>
            <w:tcW w:w="1805" w:type="dxa"/>
            <w:tcBorders>
              <w:top w:val="nil"/>
              <w:left w:val="nil"/>
              <w:bottom w:val="nil"/>
              <w:right w:val="nil"/>
            </w:tcBorders>
            <w:tcMar>
              <w:top w:w="0" w:type="dxa"/>
              <w:left w:w="100" w:type="dxa"/>
              <w:bottom w:w="0" w:type="dxa"/>
              <w:right w:w="100" w:type="dxa"/>
            </w:tcMar>
          </w:tcPr>
          <w:p w14:paraId="292CCEF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ES6+</w:t>
            </w:r>
          </w:p>
        </w:tc>
        <w:tc>
          <w:tcPr>
            <w:tcW w:w="5131" w:type="dxa"/>
            <w:tcBorders>
              <w:top w:val="nil"/>
              <w:left w:val="nil"/>
              <w:bottom w:val="nil"/>
              <w:right w:val="nil"/>
            </w:tcBorders>
            <w:tcMar>
              <w:top w:w="0" w:type="dxa"/>
              <w:left w:w="100" w:type="dxa"/>
              <w:bottom w:w="0" w:type="dxa"/>
              <w:right w:w="100" w:type="dxa"/>
            </w:tcMar>
          </w:tcPr>
          <w:p w14:paraId="370C7A8D"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the core scripting language for implementing front-end logic and dynamic rendering.</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Vite</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v8.0.8</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function as the build tool and development server to ensure rapid hot-module replacement and optimized production bundling</w:t>
            </w:r>
          </w:p>
        </w:tc>
      </w:tr>
    </w:tbl>
    <w:p w14:paraId="0E6865DB"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Table 2</w:t>
      </w:r>
    </w:p>
    <w:p w14:paraId="56183C1A"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Backend Software Specifications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2"/>
        <w:gridCol w:w="1808"/>
        <w:gridCol w:w="5125"/>
      </w:tblGrid>
      <w:tr w:rsidR="00114F3B" w14:paraId="5E5FEFAD" w14:textId="77777777">
        <w:trPr>
          <w:trHeight w:val="795"/>
        </w:trPr>
        <w:tc>
          <w:tcPr>
            <w:tcW w:w="2092" w:type="dxa"/>
            <w:tcBorders>
              <w:top w:val="single" w:sz="5" w:space="0" w:color="000000"/>
              <w:left w:val="nil"/>
              <w:bottom w:val="single" w:sz="5" w:space="0" w:color="000000"/>
              <w:right w:val="nil"/>
            </w:tcBorders>
            <w:tcMar>
              <w:top w:w="0" w:type="dxa"/>
              <w:left w:w="100" w:type="dxa"/>
              <w:bottom w:w="0" w:type="dxa"/>
              <w:right w:w="100" w:type="dxa"/>
            </w:tcMar>
          </w:tcPr>
          <w:p w14:paraId="7AC69E7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1808" w:type="dxa"/>
            <w:tcBorders>
              <w:top w:val="single" w:sz="5" w:space="0" w:color="000000"/>
              <w:left w:val="nil"/>
              <w:bottom w:val="single" w:sz="5" w:space="0" w:color="000000"/>
              <w:right w:val="nil"/>
            </w:tcBorders>
            <w:tcMar>
              <w:top w:w="0" w:type="dxa"/>
              <w:left w:w="100" w:type="dxa"/>
              <w:bottom w:w="0" w:type="dxa"/>
              <w:right w:w="100" w:type="dxa"/>
            </w:tcMar>
          </w:tcPr>
          <w:p w14:paraId="30BA201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5125" w:type="dxa"/>
            <w:tcBorders>
              <w:top w:val="single" w:sz="5" w:space="0" w:color="000000"/>
              <w:left w:val="nil"/>
              <w:bottom w:val="single" w:sz="5" w:space="0" w:color="000000"/>
              <w:right w:val="nil"/>
            </w:tcBorders>
            <w:tcMar>
              <w:top w:w="0" w:type="dxa"/>
              <w:left w:w="100" w:type="dxa"/>
              <w:bottom w:w="0" w:type="dxa"/>
              <w:right w:w="100" w:type="dxa"/>
            </w:tcMar>
          </w:tcPr>
          <w:p w14:paraId="6F6DB25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2DC73401" w14:textId="77777777">
        <w:trPr>
          <w:trHeight w:val="1740"/>
        </w:trPr>
        <w:tc>
          <w:tcPr>
            <w:tcW w:w="2092" w:type="dxa"/>
            <w:tcBorders>
              <w:top w:val="nil"/>
              <w:left w:val="nil"/>
              <w:bottom w:val="nil"/>
              <w:right w:val="nil"/>
            </w:tcBorders>
            <w:tcMar>
              <w:top w:w="0" w:type="dxa"/>
              <w:left w:w="100" w:type="dxa"/>
              <w:bottom w:w="0" w:type="dxa"/>
              <w:right w:w="100" w:type="dxa"/>
            </w:tcMar>
          </w:tcPr>
          <w:p w14:paraId="217A96B1"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FastAPI</w:t>
            </w:r>
            <w:proofErr w:type="spellEnd"/>
          </w:p>
        </w:tc>
        <w:tc>
          <w:tcPr>
            <w:tcW w:w="1808" w:type="dxa"/>
            <w:tcBorders>
              <w:top w:val="nil"/>
              <w:left w:val="nil"/>
              <w:bottom w:val="nil"/>
              <w:right w:val="nil"/>
            </w:tcBorders>
            <w:tcMar>
              <w:top w:w="0" w:type="dxa"/>
              <w:left w:w="100" w:type="dxa"/>
              <w:bottom w:w="0" w:type="dxa"/>
              <w:right w:w="100" w:type="dxa"/>
            </w:tcMar>
          </w:tcPr>
          <w:p w14:paraId="76F3CBC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v0.135.3</w:t>
            </w:r>
          </w:p>
        </w:tc>
        <w:tc>
          <w:tcPr>
            <w:tcW w:w="5125" w:type="dxa"/>
            <w:tcBorders>
              <w:top w:val="nil"/>
              <w:left w:val="nil"/>
              <w:bottom w:val="nil"/>
              <w:right w:val="nil"/>
            </w:tcBorders>
            <w:tcMar>
              <w:top w:w="0" w:type="dxa"/>
              <w:left w:w="100" w:type="dxa"/>
              <w:bottom w:w="0" w:type="dxa"/>
              <w:right w:w="100" w:type="dxa"/>
            </w:tcMar>
          </w:tcPr>
          <w:p w14:paraId="01DD9C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web framework to build a high-performance REST API capable of handling asynchronous requests.</w:t>
            </w:r>
          </w:p>
        </w:tc>
      </w:tr>
      <w:tr w:rsidR="00114F3B" w14:paraId="010AE7BA" w14:textId="77777777">
        <w:trPr>
          <w:trHeight w:val="1260"/>
        </w:trPr>
        <w:tc>
          <w:tcPr>
            <w:tcW w:w="2092" w:type="dxa"/>
            <w:tcBorders>
              <w:top w:val="nil"/>
              <w:left w:val="nil"/>
              <w:bottom w:val="nil"/>
              <w:right w:val="nil"/>
            </w:tcBorders>
            <w:tcMar>
              <w:top w:w="0" w:type="dxa"/>
              <w:left w:w="100" w:type="dxa"/>
              <w:bottom w:w="0" w:type="dxa"/>
              <w:right w:w="100" w:type="dxa"/>
            </w:tcMar>
          </w:tcPr>
          <w:p w14:paraId="4E22D07F"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Pydantic</w:t>
            </w:r>
            <w:proofErr w:type="spellEnd"/>
          </w:p>
        </w:tc>
        <w:tc>
          <w:tcPr>
            <w:tcW w:w="1808" w:type="dxa"/>
            <w:tcBorders>
              <w:top w:val="nil"/>
              <w:left w:val="nil"/>
              <w:bottom w:val="nil"/>
              <w:right w:val="nil"/>
            </w:tcBorders>
            <w:tcMar>
              <w:top w:w="0" w:type="dxa"/>
              <w:left w:w="100" w:type="dxa"/>
              <w:bottom w:w="0" w:type="dxa"/>
              <w:right w:w="100" w:type="dxa"/>
            </w:tcMar>
          </w:tcPr>
          <w:p w14:paraId="28A5899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v2.12.5</w:t>
            </w:r>
          </w:p>
        </w:tc>
        <w:tc>
          <w:tcPr>
            <w:tcW w:w="5125" w:type="dxa"/>
            <w:tcBorders>
              <w:top w:val="nil"/>
              <w:left w:val="nil"/>
              <w:bottom w:val="nil"/>
              <w:right w:val="nil"/>
            </w:tcBorders>
            <w:tcMar>
              <w:top w:w="0" w:type="dxa"/>
              <w:left w:w="100" w:type="dxa"/>
              <w:bottom w:w="0" w:type="dxa"/>
              <w:right w:w="100" w:type="dxa"/>
            </w:tcMar>
          </w:tcPr>
          <w:p w14:paraId="719BCCC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for strict data validation and settings management through Python type hinting.</w:t>
            </w:r>
          </w:p>
        </w:tc>
      </w:tr>
      <w:tr w:rsidR="00114F3B" w14:paraId="73B9F676" w14:textId="77777777">
        <w:trPr>
          <w:trHeight w:val="1740"/>
        </w:trPr>
        <w:tc>
          <w:tcPr>
            <w:tcW w:w="2092" w:type="dxa"/>
            <w:tcBorders>
              <w:top w:val="nil"/>
              <w:left w:val="nil"/>
              <w:bottom w:val="nil"/>
              <w:right w:val="nil"/>
            </w:tcBorders>
            <w:tcMar>
              <w:top w:w="0" w:type="dxa"/>
              <w:left w:w="100" w:type="dxa"/>
              <w:bottom w:w="0" w:type="dxa"/>
              <w:right w:w="100" w:type="dxa"/>
            </w:tcMar>
          </w:tcPr>
          <w:p w14:paraId="1A68755B"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python-multipart</w:t>
            </w:r>
          </w:p>
        </w:tc>
        <w:tc>
          <w:tcPr>
            <w:tcW w:w="1808" w:type="dxa"/>
            <w:tcBorders>
              <w:top w:val="nil"/>
              <w:left w:val="nil"/>
              <w:bottom w:val="nil"/>
              <w:right w:val="nil"/>
            </w:tcBorders>
            <w:tcMar>
              <w:top w:w="0" w:type="dxa"/>
              <w:left w:w="100" w:type="dxa"/>
              <w:bottom w:w="0" w:type="dxa"/>
              <w:right w:w="100" w:type="dxa"/>
            </w:tcMar>
          </w:tcPr>
          <w:p w14:paraId="346AF30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v0.0.24</w:t>
            </w:r>
          </w:p>
        </w:tc>
        <w:tc>
          <w:tcPr>
            <w:tcW w:w="5125" w:type="dxa"/>
            <w:tcBorders>
              <w:top w:val="nil"/>
              <w:left w:val="nil"/>
              <w:bottom w:val="nil"/>
              <w:right w:val="nil"/>
            </w:tcBorders>
            <w:tcMar>
              <w:top w:w="0" w:type="dxa"/>
              <w:left w:w="100" w:type="dxa"/>
              <w:bottom w:w="0" w:type="dxa"/>
              <w:right w:w="100" w:type="dxa"/>
            </w:tcMar>
          </w:tcPr>
          <w:p w14:paraId="05FA707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integrated to facilitate the parsing of multipart form data, specifically for handling document uploads.</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roofErr w:type="spellStart"/>
            <w:r>
              <w:rPr>
                <w:rFonts w:ascii="Times New Roman" w:eastAsia="Times New Roman" w:hAnsi="Times New Roman" w:cs="Times New Roman"/>
                <w:sz w:val="24"/>
                <w:szCs w:val="24"/>
              </w:rPr>
              <w:t>dotenv</w:t>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v1.2.2</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manage environment variables to maintain secure configuration of API keys and database credentials.</w:t>
            </w:r>
          </w:p>
        </w:tc>
      </w:tr>
    </w:tbl>
    <w:p w14:paraId="0213B971"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9BDCC23"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14D3B61"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EBA87E"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ABC2B7"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159B142"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Table 3</w:t>
      </w:r>
    </w:p>
    <w:p w14:paraId="48F21575"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AI and RAG Orchestration Tools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6"/>
        <w:gridCol w:w="2088"/>
        <w:gridCol w:w="4281"/>
      </w:tblGrid>
      <w:tr w:rsidR="00114F3B" w14:paraId="1820B0BA" w14:textId="77777777">
        <w:trPr>
          <w:trHeight w:val="795"/>
        </w:trPr>
        <w:tc>
          <w:tcPr>
            <w:tcW w:w="2655" w:type="dxa"/>
            <w:tcBorders>
              <w:top w:val="single" w:sz="5" w:space="0" w:color="000000"/>
              <w:left w:val="nil"/>
              <w:bottom w:val="single" w:sz="5" w:space="0" w:color="000000"/>
              <w:right w:val="nil"/>
            </w:tcBorders>
            <w:tcMar>
              <w:top w:w="0" w:type="dxa"/>
              <w:left w:w="100" w:type="dxa"/>
              <w:bottom w:w="0" w:type="dxa"/>
              <w:right w:w="100" w:type="dxa"/>
            </w:tcMar>
          </w:tcPr>
          <w:p w14:paraId="0A2DF33D"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2088" w:type="dxa"/>
            <w:tcBorders>
              <w:top w:val="single" w:sz="5" w:space="0" w:color="000000"/>
              <w:left w:val="nil"/>
              <w:bottom w:val="single" w:sz="5" w:space="0" w:color="000000"/>
              <w:right w:val="nil"/>
            </w:tcBorders>
            <w:tcMar>
              <w:top w:w="0" w:type="dxa"/>
              <w:left w:w="100" w:type="dxa"/>
              <w:bottom w:w="0" w:type="dxa"/>
              <w:right w:w="100" w:type="dxa"/>
            </w:tcMar>
          </w:tcPr>
          <w:p w14:paraId="1FD91473"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4281" w:type="dxa"/>
            <w:tcBorders>
              <w:top w:val="single" w:sz="5" w:space="0" w:color="000000"/>
              <w:left w:val="nil"/>
              <w:bottom w:val="single" w:sz="5" w:space="0" w:color="000000"/>
              <w:right w:val="nil"/>
            </w:tcBorders>
            <w:tcMar>
              <w:top w:w="0" w:type="dxa"/>
              <w:left w:w="100" w:type="dxa"/>
              <w:bottom w:w="0" w:type="dxa"/>
              <w:right w:w="100" w:type="dxa"/>
            </w:tcMar>
          </w:tcPr>
          <w:p w14:paraId="65F2367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1C946129" w14:textId="77777777">
        <w:trPr>
          <w:trHeight w:val="1740"/>
        </w:trPr>
        <w:tc>
          <w:tcPr>
            <w:tcW w:w="2655" w:type="dxa"/>
            <w:tcBorders>
              <w:top w:val="nil"/>
              <w:left w:val="nil"/>
              <w:bottom w:val="nil"/>
              <w:right w:val="nil"/>
            </w:tcBorders>
            <w:tcMar>
              <w:top w:w="0" w:type="dxa"/>
              <w:left w:w="100" w:type="dxa"/>
              <w:bottom w:w="0" w:type="dxa"/>
              <w:right w:w="100" w:type="dxa"/>
            </w:tcMar>
          </w:tcPr>
          <w:p w14:paraId="39289135"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Supabase</w:t>
            </w:r>
            <w:proofErr w:type="spellEnd"/>
          </w:p>
        </w:tc>
        <w:tc>
          <w:tcPr>
            <w:tcW w:w="2088" w:type="dxa"/>
            <w:tcBorders>
              <w:top w:val="nil"/>
              <w:left w:val="nil"/>
              <w:bottom w:val="nil"/>
              <w:right w:val="nil"/>
            </w:tcBorders>
            <w:tcMar>
              <w:top w:w="0" w:type="dxa"/>
              <w:left w:w="100" w:type="dxa"/>
              <w:bottom w:w="0" w:type="dxa"/>
              <w:right w:w="100" w:type="dxa"/>
            </w:tcMar>
          </w:tcPr>
          <w:p w14:paraId="64577C9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v2.28.3</w:t>
            </w:r>
          </w:p>
        </w:tc>
        <w:tc>
          <w:tcPr>
            <w:tcW w:w="4281" w:type="dxa"/>
            <w:tcBorders>
              <w:top w:val="nil"/>
              <w:left w:val="nil"/>
              <w:bottom w:val="nil"/>
              <w:right w:val="nil"/>
            </w:tcBorders>
            <w:tcMar>
              <w:top w:w="0" w:type="dxa"/>
              <w:left w:w="100" w:type="dxa"/>
              <w:bottom w:w="0" w:type="dxa"/>
              <w:right w:w="100" w:type="dxa"/>
            </w:tcMar>
          </w:tcPr>
          <w:p w14:paraId="0B537AA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the client interface for connecting the back-end to the PostgreSQL-based cloud database.</w:t>
            </w:r>
          </w:p>
        </w:tc>
      </w:tr>
      <w:tr w:rsidR="00114F3B" w14:paraId="67464BDB" w14:textId="77777777">
        <w:trPr>
          <w:trHeight w:val="1740"/>
        </w:trPr>
        <w:tc>
          <w:tcPr>
            <w:tcW w:w="2655" w:type="dxa"/>
            <w:tcBorders>
              <w:top w:val="nil"/>
              <w:left w:val="nil"/>
              <w:bottom w:val="nil"/>
              <w:right w:val="nil"/>
            </w:tcBorders>
            <w:tcMar>
              <w:top w:w="0" w:type="dxa"/>
              <w:left w:w="100" w:type="dxa"/>
              <w:bottom w:w="0" w:type="dxa"/>
              <w:right w:w="100" w:type="dxa"/>
            </w:tcMar>
          </w:tcPr>
          <w:p w14:paraId="0360203D"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pgvector</w:t>
            </w:r>
            <w:proofErr w:type="spellEnd"/>
          </w:p>
        </w:tc>
        <w:tc>
          <w:tcPr>
            <w:tcW w:w="2088" w:type="dxa"/>
            <w:tcBorders>
              <w:top w:val="nil"/>
              <w:left w:val="nil"/>
              <w:bottom w:val="nil"/>
              <w:right w:val="nil"/>
            </w:tcBorders>
            <w:tcMar>
              <w:top w:w="0" w:type="dxa"/>
              <w:left w:w="100" w:type="dxa"/>
              <w:bottom w:w="0" w:type="dxa"/>
              <w:right w:w="100" w:type="dxa"/>
            </w:tcMar>
          </w:tcPr>
          <w:p w14:paraId="19C17C6F"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v0.7.0 (Managed via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w:t>
            </w:r>
          </w:p>
        </w:tc>
        <w:tc>
          <w:tcPr>
            <w:tcW w:w="4281" w:type="dxa"/>
            <w:tcBorders>
              <w:top w:val="nil"/>
              <w:left w:val="nil"/>
              <w:bottom w:val="nil"/>
              <w:right w:val="nil"/>
            </w:tcBorders>
            <w:tcMar>
              <w:top w:w="0" w:type="dxa"/>
              <w:left w:w="100" w:type="dxa"/>
              <w:bottom w:w="0" w:type="dxa"/>
              <w:right w:w="100" w:type="dxa"/>
            </w:tcMar>
          </w:tcPr>
          <w:p w14:paraId="2ECF719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enabled within the database to support vector similarity searches for semantic document retrieval.</w:t>
            </w:r>
          </w:p>
        </w:tc>
      </w:tr>
      <w:tr w:rsidR="00114F3B" w14:paraId="31CB310D" w14:textId="77777777">
        <w:trPr>
          <w:trHeight w:val="1740"/>
        </w:trPr>
        <w:tc>
          <w:tcPr>
            <w:tcW w:w="2655" w:type="dxa"/>
            <w:tcBorders>
              <w:top w:val="nil"/>
              <w:left w:val="nil"/>
              <w:bottom w:val="nil"/>
              <w:right w:val="nil"/>
            </w:tcBorders>
            <w:tcMar>
              <w:top w:w="0" w:type="dxa"/>
              <w:left w:w="100" w:type="dxa"/>
              <w:bottom w:w="0" w:type="dxa"/>
              <w:right w:w="100" w:type="dxa"/>
            </w:tcMar>
          </w:tcPr>
          <w:p w14:paraId="0ED8F6C4"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genai</w:t>
            </w:r>
            <w:proofErr w:type="spellEnd"/>
          </w:p>
        </w:tc>
        <w:tc>
          <w:tcPr>
            <w:tcW w:w="2088" w:type="dxa"/>
            <w:tcBorders>
              <w:top w:val="nil"/>
              <w:left w:val="nil"/>
              <w:bottom w:val="nil"/>
              <w:right w:val="nil"/>
            </w:tcBorders>
            <w:tcMar>
              <w:top w:w="0" w:type="dxa"/>
              <w:left w:w="100" w:type="dxa"/>
              <w:bottom w:w="0" w:type="dxa"/>
              <w:right w:w="100" w:type="dxa"/>
            </w:tcMar>
          </w:tcPr>
          <w:p w14:paraId="347F676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v4.2.1</w:t>
            </w:r>
          </w:p>
        </w:tc>
        <w:tc>
          <w:tcPr>
            <w:tcW w:w="4281" w:type="dxa"/>
            <w:tcBorders>
              <w:top w:val="nil"/>
              <w:left w:val="nil"/>
              <w:bottom w:val="nil"/>
              <w:right w:val="nil"/>
            </w:tcBorders>
            <w:tcMar>
              <w:top w:w="0" w:type="dxa"/>
              <w:left w:w="100" w:type="dxa"/>
              <w:bottom w:w="0" w:type="dxa"/>
              <w:right w:w="100" w:type="dxa"/>
            </w:tcMar>
          </w:tcPr>
          <w:p w14:paraId="16AE24E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facilitate the secure integration of Google’s Generative AI models into the system’s backend.</w:t>
            </w:r>
          </w:p>
        </w:tc>
      </w:tr>
      <w:tr w:rsidR="00114F3B" w14:paraId="6C2B5615" w14:textId="77777777">
        <w:trPr>
          <w:trHeight w:val="1740"/>
        </w:trPr>
        <w:tc>
          <w:tcPr>
            <w:tcW w:w="2655" w:type="dxa"/>
            <w:tcBorders>
              <w:top w:val="nil"/>
              <w:left w:val="nil"/>
              <w:bottom w:val="nil"/>
              <w:right w:val="nil"/>
            </w:tcBorders>
            <w:tcMar>
              <w:top w:w="0" w:type="dxa"/>
              <w:left w:w="100" w:type="dxa"/>
              <w:bottom w:w="0" w:type="dxa"/>
              <w:right w:w="100" w:type="dxa"/>
            </w:tcMar>
          </w:tcPr>
          <w:p w14:paraId="5B2585DB"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 1.5 Flash</w:t>
            </w:r>
          </w:p>
        </w:tc>
        <w:tc>
          <w:tcPr>
            <w:tcW w:w="2088" w:type="dxa"/>
            <w:tcBorders>
              <w:top w:val="nil"/>
              <w:left w:val="nil"/>
              <w:bottom w:val="nil"/>
              <w:right w:val="nil"/>
            </w:tcBorders>
            <w:tcMar>
              <w:top w:w="0" w:type="dxa"/>
              <w:left w:w="100" w:type="dxa"/>
              <w:bottom w:w="0" w:type="dxa"/>
              <w:right w:w="100" w:type="dxa"/>
            </w:tcMar>
          </w:tcPr>
          <w:p w14:paraId="498CFCFF"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gemini-1.5-flash</w:t>
            </w:r>
          </w:p>
        </w:tc>
        <w:tc>
          <w:tcPr>
            <w:tcW w:w="4281" w:type="dxa"/>
            <w:tcBorders>
              <w:top w:val="nil"/>
              <w:left w:val="nil"/>
              <w:bottom w:val="nil"/>
              <w:right w:val="nil"/>
            </w:tcBorders>
            <w:tcMar>
              <w:top w:w="0" w:type="dxa"/>
              <w:left w:w="100" w:type="dxa"/>
              <w:bottom w:w="0" w:type="dxa"/>
              <w:right w:w="100" w:type="dxa"/>
            </w:tcMar>
          </w:tcPr>
          <w:p w14:paraId="40D2A5B1"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primary Large Language Model (LLM) for synthesizing intelligent, context-aware responses.</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text-embedding-004</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text-embedding-004</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to generate high-dimensional vector embeddings for indexing and searching document contents.</w:t>
            </w:r>
          </w:p>
        </w:tc>
      </w:tr>
    </w:tbl>
    <w:p w14:paraId="45E1C328"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br/>
      </w:r>
    </w:p>
    <w:p w14:paraId="0108BEF6"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4</w:t>
      </w:r>
    </w:p>
    <w:p w14:paraId="47928649"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Software Testing and Quality Assurance Tools</w:t>
      </w:r>
    </w:p>
    <w:sdt>
      <w:sdtPr>
        <w:tag w:val="goog_rdk_0"/>
        <w:id w:val="-1678921515"/>
        <w:lock w:val="contentLocked"/>
      </w:sdtPr>
      <w:sdtContent>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2070"/>
            <w:gridCol w:w="4275"/>
          </w:tblGrid>
          <w:tr w:rsidR="00114F3B" w14:paraId="3FEDB9C4" w14:textId="77777777">
            <w:trPr>
              <w:trHeight w:val="795"/>
            </w:trPr>
            <w:tc>
              <w:tcPr>
                <w:tcW w:w="2670" w:type="dxa"/>
                <w:tcBorders>
                  <w:top w:val="single" w:sz="5" w:space="0" w:color="000000"/>
                  <w:left w:val="nil"/>
                  <w:bottom w:val="single" w:sz="5" w:space="0" w:color="000000"/>
                  <w:right w:val="nil"/>
                </w:tcBorders>
                <w:tcMar>
                  <w:top w:w="0" w:type="dxa"/>
                  <w:left w:w="100" w:type="dxa"/>
                  <w:bottom w:w="0" w:type="dxa"/>
                  <w:right w:w="100" w:type="dxa"/>
                </w:tcMar>
              </w:tcPr>
              <w:p w14:paraId="5B366AB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2070" w:type="dxa"/>
                <w:tcBorders>
                  <w:top w:val="single" w:sz="5" w:space="0" w:color="000000"/>
                  <w:left w:val="nil"/>
                  <w:bottom w:val="single" w:sz="5" w:space="0" w:color="000000"/>
                  <w:right w:val="nil"/>
                </w:tcBorders>
                <w:tcMar>
                  <w:top w:w="0" w:type="dxa"/>
                  <w:left w:w="100" w:type="dxa"/>
                  <w:bottom w:w="0" w:type="dxa"/>
                  <w:right w:w="100" w:type="dxa"/>
                </w:tcMar>
              </w:tcPr>
              <w:p w14:paraId="51A9161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4275" w:type="dxa"/>
                <w:tcBorders>
                  <w:top w:val="single" w:sz="5" w:space="0" w:color="000000"/>
                  <w:left w:val="nil"/>
                  <w:bottom w:val="single" w:sz="5" w:space="0" w:color="000000"/>
                  <w:right w:val="nil"/>
                </w:tcBorders>
                <w:tcMar>
                  <w:top w:w="0" w:type="dxa"/>
                  <w:left w:w="100" w:type="dxa"/>
                  <w:bottom w:w="0" w:type="dxa"/>
                  <w:right w:w="100" w:type="dxa"/>
                </w:tcMar>
              </w:tcPr>
              <w:p w14:paraId="5EC17D3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40CE5895" w14:textId="77777777">
            <w:trPr>
              <w:trHeight w:val="1740"/>
            </w:trPr>
            <w:tc>
              <w:tcPr>
                <w:tcW w:w="2670" w:type="dxa"/>
                <w:tcBorders>
                  <w:top w:val="nil"/>
                  <w:left w:val="nil"/>
                  <w:bottom w:val="nil"/>
                  <w:right w:val="nil"/>
                </w:tcBorders>
                <w:tcMar>
                  <w:top w:w="0" w:type="dxa"/>
                  <w:left w:w="100" w:type="dxa"/>
                  <w:bottom w:w="0" w:type="dxa"/>
                  <w:right w:w="100" w:type="dxa"/>
                </w:tcMar>
              </w:tcPr>
              <w:p w14:paraId="1DFC67AD"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PyTest</w:t>
                </w:r>
              </w:p>
            </w:tc>
            <w:tc>
              <w:tcPr>
                <w:tcW w:w="2070" w:type="dxa"/>
                <w:tcBorders>
                  <w:top w:val="nil"/>
                  <w:left w:val="nil"/>
                  <w:bottom w:val="nil"/>
                  <w:right w:val="nil"/>
                </w:tcBorders>
                <w:tcMar>
                  <w:top w:w="0" w:type="dxa"/>
                  <w:left w:w="100" w:type="dxa"/>
                  <w:bottom w:w="0" w:type="dxa"/>
                  <w:right w:w="100" w:type="dxa"/>
                </w:tcMar>
              </w:tcPr>
              <w:p w14:paraId="772218A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v8.1.1</w:t>
                </w:r>
              </w:p>
            </w:tc>
            <w:tc>
              <w:tcPr>
                <w:tcW w:w="4275" w:type="dxa"/>
                <w:tcBorders>
                  <w:top w:val="nil"/>
                  <w:left w:val="nil"/>
                  <w:bottom w:val="nil"/>
                  <w:right w:val="nil"/>
                </w:tcBorders>
                <w:tcMar>
                  <w:top w:w="0" w:type="dxa"/>
                  <w:left w:w="100" w:type="dxa"/>
                  <w:bottom w:w="0" w:type="dxa"/>
                  <w:right w:w="100" w:type="dxa"/>
                </w:tcMar>
              </w:tcPr>
              <w:p w14:paraId="7218E9CD"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automated testing framework for executing unit tests and integration tests to verify the functional correctness of API endpoints and RAG pipeline operations.</w:t>
                </w:r>
              </w:p>
            </w:tc>
          </w:tr>
          <w:tr w:rsidR="00114F3B" w14:paraId="15327F0D" w14:textId="77777777">
            <w:trPr>
              <w:trHeight w:val="1740"/>
            </w:trPr>
            <w:tc>
              <w:tcPr>
                <w:tcW w:w="2670" w:type="dxa"/>
                <w:tcBorders>
                  <w:top w:val="nil"/>
                  <w:left w:val="nil"/>
                  <w:bottom w:val="nil"/>
                  <w:right w:val="nil"/>
                </w:tcBorders>
                <w:tcMar>
                  <w:top w:w="0" w:type="dxa"/>
                  <w:left w:w="100" w:type="dxa"/>
                  <w:bottom w:w="0" w:type="dxa"/>
                  <w:right w:w="100" w:type="dxa"/>
                </w:tcMar>
              </w:tcPr>
              <w:p w14:paraId="47291063"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Apache JMeter</w:t>
                </w:r>
              </w:p>
            </w:tc>
            <w:tc>
              <w:tcPr>
                <w:tcW w:w="2070" w:type="dxa"/>
                <w:tcBorders>
                  <w:top w:val="nil"/>
                  <w:left w:val="nil"/>
                  <w:bottom w:val="nil"/>
                  <w:right w:val="nil"/>
                </w:tcBorders>
                <w:tcMar>
                  <w:top w:w="0" w:type="dxa"/>
                  <w:left w:w="100" w:type="dxa"/>
                  <w:bottom w:w="0" w:type="dxa"/>
                  <w:right w:w="100" w:type="dxa"/>
                </w:tcMar>
              </w:tcPr>
              <w:p w14:paraId="0D66920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v5.6.3</w:t>
                </w:r>
              </w:p>
            </w:tc>
            <w:tc>
              <w:tcPr>
                <w:tcW w:w="4275" w:type="dxa"/>
                <w:tcBorders>
                  <w:top w:val="nil"/>
                  <w:left w:val="nil"/>
                  <w:bottom w:val="nil"/>
                  <w:right w:val="nil"/>
                </w:tcBorders>
                <w:tcMar>
                  <w:top w:w="0" w:type="dxa"/>
                  <w:left w:w="100" w:type="dxa"/>
                  <w:bottom w:w="0" w:type="dxa"/>
                  <w:right w:w="100" w:type="dxa"/>
                </w:tcMar>
              </w:tcPr>
              <w:p w14:paraId="32FC5415"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a load-testing tool to simulate concurrent user requests and measure API response times, throughput, and system performance under stress conditions.</w:t>
                </w:r>
              </w:p>
            </w:tc>
          </w:tr>
          <w:tr w:rsidR="00114F3B" w14:paraId="256548E6" w14:textId="77777777">
            <w:trPr>
              <w:trHeight w:val="1740"/>
            </w:trPr>
            <w:tc>
              <w:tcPr>
                <w:tcW w:w="2670" w:type="dxa"/>
                <w:tcBorders>
                  <w:top w:val="nil"/>
                  <w:left w:val="nil"/>
                  <w:bottom w:val="nil"/>
                  <w:right w:val="nil"/>
                </w:tcBorders>
                <w:tcMar>
                  <w:top w:w="0" w:type="dxa"/>
                  <w:left w:w="100" w:type="dxa"/>
                  <w:bottom w:w="0" w:type="dxa"/>
                  <w:right w:w="100" w:type="dxa"/>
                </w:tcMar>
              </w:tcPr>
              <w:p w14:paraId="4D40CBE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SonarQube</w:t>
                </w:r>
              </w:p>
            </w:tc>
            <w:tc>
              <w:tcPr>
                <w:tcW w:w="2070" w:type="dxa"/>
                <w:tcBorders>
                  <w:top w:val="nil"/>
                  <w:left w:val="nil"/>
                  <w:bottom w:val="nil"/>
                  <w:right w:val="nil"/>
                </w:tcBorders>
                <w:tcMar>
                  <w:top w:w="0" w:type="dxa"/>
                  <w:left w:w="100" w:type="dxa"/>
                  <w:bottom w:w="0" w:type="dxa"/>
                  <w:right w:w="100" w:type="dxa"/>
                </w:tcMar>
              </w:tcPr>
              <w:p w14:paraId="49DAF68B"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v10.4</w:t>
                </w:r>
              </w:p>
            </w:tc>
            <w:tc>
              <w:tcPr>
                <w:tcW w:w="4275" w:type="dxa"/>
                <w:tcBorders>
                  <w:top w:val="nil"/>
                  <w:left w:val="nil"/>
                  <w:bottom w:val="nil"/>
                  <w:right w:val="nil"/>
                </w:tcBorders>
                <w:tcMar>
                  <w:top w:w="0" w:type="dxa"/>
                  <w:left w:w="100" w:type="dxa"/>
                  <w:bottom w:w="0" w:type="dxa"/>
                  <w:right w:w="100" w:type="dxa"/>
                </w:tcMar>
              </w:tcPr>
              <w:p w14:paraId="703110FA"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deployed as a continuous static code analysis platform to detect code smells, logic flaws, unhandled exceptions, and potential reliability vulnerabilities in the backend codebase.</w:t>
                </w:r>
              </w:p>
            </w:tc>
          </w:tr>
          <w:tr w:rsidR="00114F3B" w14:paraId="010BBCD3" w14:textId="77777777">
            <w:trPr>
              <w:trHeight w:val="1740"/>
            </w:trPr>
            <w:tc>
              <w:tcPr>
                <w:tcW w:w="2670" w:type="dxa"/>
                <w:tcBorders>
                  <w:top w:val="nil"/>
                  <w:left w:val="nil"/>
                  <w:bottom w:val="nil"/>
                  <w:right w:val="nil"/>
                </w:tcBorders>
                <w:tcMar>
                  <w:top w:w="0" w:type="dxa"/>
                  <w:left w:w="100" w:type="dxa"/>
                  <w:bottom w:w="0" w:type="dxa"/>
                  <w:right w:w="100" w:type="dxa"/>
                </w:tcMar>
              </w:tcPr>
              <w:p w14:paraId="39AA5F9E"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Pylint </w:t>
                </w:r>
              </w:p>
            </w:tc>
            <w:tc>
              <w:tcPr>
                <w:tcW w:w="2070" w:type="dxa"/>
                <w:tcBorders>
                  <w:top w:val="nil"/>
                  <w:left w:val="nil"/>
                  <w:bottom w:val="nil"/>
                  <w:right w:val="nil"/>
                </w:tcBorders>
                <w:tcMar>
                  <w:top w:w="0" w:type="dxa"/>
                  <w:left w:w="100" w:type="dxa"/>
                  <w:bottom w:w="0" w:type="dxa"/>
                  <w:right w:w="100" w:type="dxa"/>
                </w:tcMar>
              </w:tcPr>
              <w:p w14:paraId="582315DA"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v3.1.0</w:t>
                </w:r>
              </w:p>
            </w:tc>
            <w:tc>
              <w:tcPr>
                <w:tcW w:w="4275" w:type="dxa"/>
                <w:tcBorders>
                  <w:top w:val="nil"/>
                  <w:left w:val="nil"/>
                  <w:bottom w:val="nil"/>
                  <w:right w:val="nil"/>
                </w:tcBorders>
                <w:tcMar>
                  <w:top w:w="0" w:type="dxa"/>
                  <w:left w:w="100" w:type="dxa"/>
                  <w:bottom w:w="0" w:type="dxa"/>
                  <w:right w:w="100" w:type="dxa"/>
                </w:tcMar>
              </w:tcPr>
              <w:p w14:paraId="550A23C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Selected to generate automated, objective code quality scores by evaluating the structural maintainability, modularity, and </w:t>
                </w:r>
                <w:r>
                  <w:rPr>
                    <w:rFonts w:ascii="Times New Roman" w:eastAsia="Times New Roman" w:hAnsi="Times New Roman" w:cs="Times New Roman"/>
                    <w:sz w:val="24"/>
                    <w:szCs w:val="24"/>
                  </w:rPr>
                  <w:lastRenderedPageBreak/>
                  <w:t>strict typing compliance of the Python backend.</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ESLint</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v9.0.0</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to enforce strict ECMAScript standards and evaluate the structural maintainability and technical debt mitigation of the React frontend codebase.</w:t>
                </w:r>
              </w:p>
            </w:tc>
          </w:tr>
          <w:tr w:rsidR="00114F3B" w14:paraId="797395B1" w14:textId="77777777">
            <w:trPr>
              <w:trHeight w:val="630"/>
            </w:trPr>
            <w:tc>
              <w:tcPr>
                <w:tcW w:w="2670" w:type="dxa"/>
                <w:tcBorders>
                  <w:top w:val="nil"/>
                  <w:left w:val="nil"/>
                  <w:bottom w:val="single" w:sz="5" w:space="0" w:color="000000"/>
                  <w:right w:val="nil"/>
                </w:tcBorders>
                <w:tcMar>
                  <w:top w:w="0" w:type="dxa"/>
                  <w:left w:w="100" w:type="dxa"/>
                  <w:bottom w:w="0" w:type="dxa"/>
                  <w:right w:w="100" w:type="dxa"/>
                </w:tcMar>
              </w:tcPr>
              <w:p w14:paraId="230BD3D7" w14:textId="77777777" w:rsidR="00114F3B" w:rsidRDefault="00114F3B">
                <w:pPr>
                  <w:spacing w:before="240" w:after="60" w:line="480" w:lineRule="auto"/>
                  <w:rPr>
                    <w:rFonts w:ascii="Times New Roman" w:eastAsia="Times New Roman" w:hAnsi="Times New Roman" w:cs="Times New Roman"/>
                    <w:sz w:val="24"/>
                    <w:szCs w:val="24"/>
                  </w:rPr>
                </w:pPr>
              </w:p>
            </w:tc>
            <w:tc>
              <w:tcPr>
                <w:tcW w:w="2070" w:type="dxa"/>
                <w:tcBorders>
                  <w:top w:val="nil"/>
                  <w:left w:val="nil"/>
                  <w:bottom w:val="single" w:sz="5" w:space="0" w:color="000000"/>
                  <w:right w:val="nil"/>
                </w:tcBorders>
                <w:tcMar>
                  <w:top w:w="0" w:type="dxa"/>
                  <w:left w:w="100" w:type="dxa"/>
                  <w:bottom w:w="0" w:type="dxa"/>
                  <w:right w:w="100" w:type="dxa"/>
                </w:tcMar>
              </w:tcPr>
              <w:p w14:paraId="17CA9E59" w14:textId="77777777" w:rsidR="00114F3B" w:rsidRDefault="00114F3B">
                <w:pPr>
                  <w:spacing w:before="240" w:after="60" w:line="480" w:lineRule="auto"/>
                  <w:jc w:val="center"/>
                  <w:rPr>
                    <w:rFonts w:ascii="Times New Roman" w:eastAsia="Times New Roman" w:hAnsi="Times New Roman" w:cs="Times New Roman"/>
                    <w:sz w:val="24"/>
                    <w:szCs w:val="24"/>
                  </w:rPr>
                </w:pPr>
              </w:p>
            </w:tc>
            <w:tc>
              <w:tcPr>
                <w:tcW w:w="4275" w:type="dxa"/>
                <w:tcBorders>
                  <w:top w:val="nil"/>
                  <w:left w:val="nil"/>
                  <w:bottom w:val="single" w:sz="5" w:space="0" w:color="000000"/>
                  <w:right w:val="nil"/>
                </w:tcBorders>
                <w:tcMar>
                  <w:top w:w="0" w:type="dxa"/>
                  <w:left w:w="100" w:type="dxa"/>
                  <w:bottom w:w="0" w:type="dxa"/>
                  <w:right w:w="100" w:type="dxa"/>
                </w:tcMar>
              </w:tcPr>
              <w:p w14:paraId="53297B7F" w14:textId="77777777" w:rsidR="00114F3B" w:rsidRDefault="00000000">
                <w:pPr>
                  <w:spacing w:before="240" w:after="60" w:line="480" w:lineRule="auto"/>
                  <w:jc w:val="both"/>
                  <w:rPr>
                    <w:rFonts w:ascii="Times New Roman" w:eastAsia="Times New Roman" w:hAnsi="Times New Roman" w:cs="Times New Roman"/>
                    <w:sz w:val="24"/>
                    <w:szCs w:val="24"/>
                  </w:rPr>
                </w:pPr>
              </w:p>
            </w:tc>
          </w:tr>
        </w:tbl>
      </w:sdtContent>
    </w:sdt>
    <w:p w14:paraId="6242B058"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br/>
        <w:t>3.1.2 Hardware</w:t>
      </w:r>
    </w:p>
    <w:p w14:paraId="3374025A"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test the system effectively, the researchers will use a laptop with specific hardware parts. These components are chosen to make sure the software runs smoothly and maintains a stable connection to the cloud-based AI services. The table below lists the primary hardware used in this study.</w:t>
      </w:r>
    </w:p>
    <w:p w14:paraId="048AFD22"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5</w:t>
      </w:r>
    </w:p>
    <w:p w14:paraId="631DAAEF"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Hardware Specifications</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89"/>
        <w:gridCol w:w="6236"/>
      </w:tblGrid>
      <w:tr w:rsidR="00114F3B" w14:paraId="426A08FA" w14:textId="77777777">
        <w:trPr>
          <w:trHeight w:val="795"/>
        </w:trPr>
        <w:tc>
          <w:tcPr>
            <w:tcW w:w="2789" w:type="dxa"/>
            <w:tcBorders>
              <w:top w:val="single" w:sz="5" w:space="0" w:color="000000"/>
              <w:left w:val="nil"/>
              <w:bottom w:val="single" w:sz="5" w:space="0" w:color="000000"/>
              <w:right w:val="nil"/>
            </w:tcBorders>
            <w:tcMar>
              <w:top w:w="0" w:type="dxa"/>
              <w:left w:w="100" w:type="dxa"/>
              <w:bottom w:w="0" w:type="dxa"/>
              <w:right w:w="100" w:type="dxa"/>
            </w:tcMar>
          </w:tcPr>
          <w:p w14:paraId="04338BC3"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Hardware Component</w:t>
            </w:r>
          </w:p>
        </w:tc>
        <w:tc>
          <w:tcPr>
            <w:tcW w:w="6235" w:type="dxa"/>
            <w:tcBorders>
              <w:top w:val="single" w:sz="5" w:space="0" w:color="000000"/>
              <w:left w:val="nil"/>
              <w:bottom w:val="single" w:sz="5" w:space="0" w:color="000000"/>
              <w:right w:val="nil"/>
            </w:tcBorders>
            <w:tcMar>
              <w:top w:w="0" w:type="dxa"/>
              <w:left w:w="100" w:type="dxa"/>
              <w:bottom w:w="0" w:type="dxa"/>
              <w:right w:w="100" w:type="dxa"/>
            </w:tcMar>
          </w:tcPr>
          <w:p w14:paraId="488571C2"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Description &amp; Specifications                 Gap</w:t>
            </w:r>
          </w:p>
        </w:tc>
      </w:tr>
      <w:tr w:rsidR="00114F3B" w14:paraId="6816DCB5" w14:textId="77777777">
        <w:trPr>
          <w:trHeight w:val="780"/>
        </w:trPr>
        <w:tc>
          <w:tcPr>
            <w:tcW w:w="2789" w:type="dxa"/>
            <w:tcBorders>
              <w:top w:val="nil"/>
              <w:left w:val="nil"/>
              <w:bottom w:val="nil"/>
              <w:right w:val="nil"/>
            </w:tcBorders>
            <w:tcMar>
              <w:top w:w="0" w:type="dxa"/>
              <w:left w:w="100" w:type="dxa"/>
              <w:bottom w:w="0" w:type="dxa"/>
              <w:right w:w="100" w:type="dxa"/>
            </w:tcMar>
          </w:tcPr>
          <w:p w14:paraId="78E72F11"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CPU</w:t>
            </w:r>
          </w:p>
        </w:tc>
        <w:tc>
          <w:tcPr>
            <w:tcW w:w="6235" w:type="dxa"/>
            <w:tcBorders>
              <w:top w:val="nil"/>
              <w:left w:val="nil"/>
              <w:bottom w:val="nil"/>
              <w:right w:val="nil"/>
            </w:tcBorders>
            <w:tcMar>
              <w:top w:w="0" w:type="dxa"/>
              <w:left w:w="100" w:type="dxa"/>
              <w:bottom w:w="0" w:type="dxa"/>
              <w:right w:w="100" w:type="dxa"/>
            </w:tcMar>
          </w:tcPr>
          <w:p w14:paraId="58058D9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Intel Core i5 13th Gen                         Feasible</w:t>
            </w:r>
          </w:p>
        </w:tc>
      </w:tr>
      <w:tr w:rsidR="00114F3B" w14:paraId="585CB1D7" w14:textId="77777777">
        <w:trPr>
          <w:trHeight w:val="780"/>
        </w:trPr>
        <w:tc>
          <w:tcPr>
            <w:tcW w:w="2789" w:type="dxa"/>
            <w:tcBorders>
              <w:top w:val="nil"/>
              <w:left w:val="nil"/>
              <w:bottom w:val="nil"/>
              <w:right w:val="nil"/>
            </w:tcBorders>
            <w:tcMar>
              <w:top w:w="0" w:type="dxa"/>
              <w:left w:w="100" w:type="dxa"/>
              <w:bottom w:w="0" w:type="dxa"/>
              <w:right w:w="100" w:type="dxa"/>
            </w:tcMar>
          </w:tcPr>
          <w:p w14:paraId="501E04B0"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GPU</w:t>
            </w:r>
          </w:p>
        </w:tc>
        <w:tc>
          <w:tcPr>
            <w:tcW w:w="6235" w:type="dxa"/>
            <w:tcBorders>
              <w:top w:val="nil"/>
              <w:left w:val="nil"/>
              <w:bottom w:val="nil"/>
              <w:right w:val="nil"/>
            </w:tcBorders>
            <w:tcMar>
              <w:top w:w="0" w:type="dxa"/>
              <w:left w:w="100" w:type="dxa"/>
              <w:bottom w:w="0" w:type="dxa"/>
              <w:right w:w="100" w:type="dxa"/>
            </w:tcMar>
          </w:tcPr>
          <w:p w14:paraId="2AA6B439"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Nvidia RTX 4050                                Feasible</w:t>
            </w:r>
          </w:p>
        </w:tc>
      </w:tr>
      <w:tr w:rsidR="00114F3B" w14:paraId="00BB990D" w14:textId="77777777">
        <w:trPr>
          <w:trHeight w:val="780"/>
        </w:trPr>
        <w:tc>
          <w:tcPr>
            <w:tcW w:w="2789" w:type="dxa"/>
            <w:tcBorders>
              <w:top w:val="nil"/>
              <w:left w:val="nil"/>
              <w:bottom w:val="nil"/>
              <w:right w:val="nil"/>
            </w:tcBorders>
            <w:tcMar>
              <w:top w:w="0" w:type="dxa"/>
              <w:left w:w="100" w:type="dxa"/>
              <w:bottom w:w="0" w:type="dxa"/>
              <w:right w:w="100" w:type="dxa"/>
            </w:tcMar>
          </w:tcPr>
          <w:p w14:paraId="771F7BB7"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RAM</w:t>
            </w:r>
          </w:p>
        </w:tc>
        <w:tc>
          <w:tcPr>
            <w:tcW w:w="6235" w:type="dxa"/>
            <w:tcBorders>
              <w:top w:val="nil"/>
              <w:left w:val="nil"/>
              <w:bottom w:val="nil"/>
              <w:right w:val="nil"/>
            </w:tcBorders>
            <w:tcMar>
              <w:top w:w="0" w:type="dxa"/>
              <w:left w:w="100" w:type="dxa"/>
              <w:bottom w:w="0" w:type="dxa"/>
              <w:right w:w="100" w:type="dxa"/>
            </w:tcMar>
          </w:tcPr>
          <w:p w14:paraId="0DDA09E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16GB 4800MHz                                  Feasible</w:t>
            </w:r>
          </w:p>
        </w:tc>
      </w:tr>
      <w:tr w:rsidR="00114F3B" w14:paraId="49999AFC" w14:textId="77777777">
        <w:trPr>
          <w:trHeight w:val="780"/>
        </w:trPr>
        <w:tc>
          <w:tcPr>
            <w:tcW w:w="2789" w:type="dxa"/>
            <w:tcBorders>
              <w:top w:val="nil"/>
              <w:left w:val="nil"/>
              <w:bottom w:val="nil"/>
              <w:right w:val="nil"/>
            </w:tcBorders>
            <w:tcMar>
              <w:top w:w="0" w:type="dxa"/>
              <w:left w:w="100" w:type="dxa"/>
              <w:bottom w:w="0" w:type="dxa"/>
              <w:right w:w="100" w:type="dxa"/>
            </w:tcMar>
          </w:tcPr>
          <w:p w14:paraId="37EB33E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Storage</w:t>
            </w:r>
          </w:p>
        </w:tc>
        <w:tc>
          <w:tcPr>
            <w:tcW w:w="6235" w:type="dxa"/>
            <w:tcBorders>
              <w:top w:val="nil"/>
              <w:left w:val="nil"/>
              <w:bottom w:val="nil"/>
              <w:right w:val="nil"/>
            </w:tcBorders>
            <w:tcMar>
              <w:top w:w="0" w:type="dxa"/>
              <w:left w:w="100" w:type="dxa"/>
              <w:bottom w:w="0" w:type="dxa"/>
              <w:right w:w="100" w:type="dxa"/>
            </w:tcMar>
          </w:tcPr>
          <w:p w14:paraId="553411B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1TB M.2 Gen 4                                   Feasible</w:t>
            </w:r>
          </w:p>
        </w:tc>
      </w:tr>
      <w:tr w:rsidR="00114F3B" w14:paraId="1B21CC52" w14:textId="77777777">
        <w:trPr>
          <w:trHeight w:val="780"/>
        </w:trPr>
        <w:tc>
          <w:tcPr>
            <w:tcW w:w="2789" w:type="dxa"/>
            <w:tcBorders>
              <w:top w:val="nil"/>
              <w:left w:val="nil"/>
              <w:bottom w:val="nil"/>
              <w:right w:val="nil"/>
            </w:tcBorders>
            <w:tcMar>
              <w:top w:w="0" w:type="dxa"/>
              <w:left w:w="100" w:type="dxa"/>
              <w:bottom w:w="0" w:type="dxa"/>
              <w:right w:w="100" w:type="dxa"/>
            </w:tcMar>
          </w:tcPr>
          <w:p w14:paraId="24DBA425"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Network Adapter</w:t>
            </w:r>
          </w:p>
        </w:tc>
        <w:tc>
          <w:tcPr>
            <w:tcW w:w="6235" w:type="dxa"/>
            <w:tcBorders>
              <w:top w:val="nil"/>
              <w:left w:val="nil"/>
              <w:bottom w:val="nil"/>
              <w:right w:val="nil"/>
            </w:tcBorders>
            <w:tcMar>
              <w:top w:w="0" w:type="dxa"/>
              <w:left w:w="100" w:type="dxa"/>
              <w:bottom w:w="0" w:type="dxa"/>
              <w:right w:w="100" w:type="dxa"/>
            </w:tcMar>
          </w:tcPr>
          <w:p w14:paraId="1934D6D1"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Wi-Fi 6 Wireless capability                 Feasible</w:t>
            </w:r>
          </w:p>
        </w:tc>
      </w:tr>
      <w:tr w:rsidR="00114F3B" w14:paraId="28DCCCBE" w14:textId="77777777">
        <w:trPr>
          <w:trHeight w:val="1260"/>
        </w:trPr>
        <w:tc>
          <w:tcPr>
            <w:tcW w:w="2789" w:type="dxa"/>
            <w:tcBorders>
              <w:top w:val="nil"/>
              <w:left w:val="nil"/>
              <w:bottom w:val="single" w:sz="5" w:space="0" w:color="000000"/>
              <w:right w:val="nil"/>
            </w:tcBorders>
            <w:tcMar>
              <w:top w:w="0" w:type="dxa"/>
              <w:left w:w="100" w:type="dxa"/>
              <w:bottom w:w="0" w:type="dxa"/>
              <w:right w:w="100" w:type="dxa"/>
            </w:tcMar>
          </w:tcPr>
          <w:p w14:paraId="7AA828B2" w14:textId="77777777" w:rsidR="00114F3B" w:rsidRDefault="00000000">
            <w:pPr>
              <w:spacing w:before="240" w:after="6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Network High-speed Broadband Internet</w:t>
            </w:r>
          </w:p>
        </w:tc>
        <w:tc>
          <w:tcPr>
            <w:tcW w:w="6235" w:type="dxa"/>
            <w:tcBorders>
              <w:top w:val="nil"/>
              <w:left w:val="nil"/>
              <w:bottom w:val="single" w:sz="5" w:space="0" w:color="000000"/>
              <w:right w:val="nil"/>
            </w:tcBorders>
            <w:tcMar>
              <w:top w:w="0" w:type="dxa"/>
              <w:left w:w="100" w:type="dxa"/>
              <w:bottom w:w="0" w:type="dxa"/>
              <w:right w:w="100" w:type="dxa"/>
            </w:tcMar>
          </w:tcPr>
          <w:p w14:paraId="202E3CBC"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Required for continuous real-time communication with the </w:t>
            </w:r>
            <w:proofErr w:type="spellStart"/>
            <w:r>
              <w:rPr>
                <w:rFonts w:ascii="Times New Roman" w:eastAsia="Times New Roman" w:hAnsi="Times New Roman" w:cs="Times New Roman"/>
                <w:color w:val="1F1F1F"/>
                <w:sz w:val="24"/>
                <w:szCs w:val="24"/>
              </w:rPr>
              <w:t>Supabase</w:t>
            </w:r>
            <w:proofErr w:type="spellEnd"/>
            <w:r>
              <w:rPr>
                <w:rFonts w:ascii="Times New Roman" w:eastAsia="Times New Roman" w:hAnsi="Times New Roman" w:cs="Times New Roman"/>
                <w:color w:val="1F1F1F"/>
                <w:sz w:val="24"/>
                <w:szCs w:val="24"/>
              </w:rPr>
              <w:t xml:space="preserve"> vector database and the Gemini API.</w:t>
            </w:r>
          </w:p>
        </w:tc>
      </w:tr>
    </w:tbl>
    <w:p w14:paraId="39A763B3"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3.1.3 Data</w:t>
      </w:r>
    </w:p>
    <w:p w14:paraId="65A89939"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for this study will come directly from the local archives of the College of Computing Studies, Information and Communication Technology (CCSICT). The data will only include past undergraduate thesis projects from the department, using both physical hardbound copies and digital files.</w:t>
      </w:r>
    </w:p>
    <w:p w14:paraId="100B1FB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adding the data to the system, all files will be converted into searchable PDF formats. The original PDF files will be kept in a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storage bucket. Each thesis usually has around 15,000 to 20,000 words, making the PDF file size about 300 KB to 500 KB.</w:t>
      </w:r>
    </w:p>
    <w:p w14:paraId="15CB5FB5"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enable the AI to search through this information quickly, the system will convert the text into vector data. Since vector embeddings represent high-dimensional numerical formats optimized for semantic similarity, they are substantially more storage-efficient than the original unstructured PDFs. After this conversion, the estimated size for the vector data of each thesis will be significantly lower, at approximately 100 KB to 200 KB. This vector data will be securely stored and managed using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as the primary database. This specific vector dataset will act as the local knowledge base. This will ensure that the AI will only use real institutional research during the testing phase instead of external internet sources.</w:t>
      </w:r>
    </w:p>
    <w:p w14:paraId="36236225"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3.2 Methods</w:t>
      </w:r>
    </w:p>
    <w:p w14:paraId="0678F28C"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3.2.1 Research Design</w:t>
      </w:r>
    </w:p>
    <w:p w14:paraId="68FD94D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will employ a computational systems design and quantitative comparative framework to evaluate the efficiency and accuracy of the retrieval architecture. The objective is to measure the performance variance between two distinct computational pathways when processing complex academic queries.</w:t>
      </w:r>
    </w:p>
    <w:p w14:paraId="6342D2FE"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will utilize purposive sampling in selecting fifty (50) undergraduate thesis documents from the CCSICT archives. The selected dataset will include both physical manuscript copies and digital soft copies, ensuring representation across various academic tracks such as Data Mining, Web Development, and Network Security. This approach ensures that the evaluation covers diverse technical vocabularies relevant to the domain.</w:t>
      </w:r>
    </w:p>
    <w:p w14:paraId="15A5358A"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testing environments will be established. The control environment will utilize an </w:t>
      </w:r>
      <w:proofErr w:type="spellStart"/>
      <w:r>
        <w:rPr>
          <w:rFonts w:ascii="Times New Roman" w:eastAsia="Times New Roman" w:hAnsi="Times New Roman" w:cs="Times New Roman"/>
          <w:sz w:val="24"/>
          <w:szCs w:val="24"/>
        </w:rPr>
        <w:t>unaugmented</w:t>
      </w:r>
      <w:proofErr w:type="spellEnd"/>
      <w:r>
        <w:rPr>
          <w:rFonts w:ascii="Times New Roman" w:eastAsia="Times New Roman" w:hAnsi="Times New Roman" w:cs="Times New Roman"/>
          <w:sz w:val="24"/>
          <w:szCs w:val="24"/>
        </w:rPr>
        <w:t xml:space="preserve"> Large Language Model, specifically the baseline Gemini API, relying exclusively on its parametric memory for query resolution. The experimental environment will deploy the proposed Retrieval-Augmented Generation (RAG) system. Within this architecture, the language model will be algorithmically constrained; it will use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processes to retrieve highly similar vector embeddings from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database before synthesizing a response.</w:t>
      </w:r>
    </w:p>
    <w:p w14:paraId="7E03ABBF"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execution, identical institutional research queries will be processed through both models simultaneously. The generated outputs will be systematically benchmarked. The primary variable measured will be factual accuracy, specifically evaluating the RAG architecture's computational ability to mitigate hallucinations by generating verifiable citations derived strictly from the local CCSICT vector dataset.</w:t>
      </w:r>
    </w:p>
    <w:p w14:paraId="6DE0BC9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execute the automated Ragas evaluation objectively, the researchers will manually curate a 'Golden Dataset' comprising thirty to fifty (30–50) standardized academic queries. These queries will be paired with human-verified 'Ground Truth' answers derived directly from the thesis corpus. Both the baseline LLM and the RAG model will process this exact dataset. To eliminate researcher bias and ensure academic neutrality, these 'Ground Truth' answers will be validated by a panel of three CCSICT faculty members prior to serving as the absolute mathematical benchmark for the Ragas evaluation.</w:t>
      </w:r>
    </w:p>
    <w:p w14:paraId="61AEDC04"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methodological traceability, Table 6 presents a direct mapping of each specific objective to its corresponding tools, methods, and expected outputs. This mapping serves as the structural guide for the subsequent subsections.</w:t>
      </w:r>
    </w:p>
    <w:p w14:paraId="0C3B8177"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6</w:t>
      </w:r>
    </w:p>
    <w:p w14:paraId="61E256F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Methodological Mapping of Objectives to Tools and Methods</w:t>
      </w:r>
    </w:p>
    <w:sdt>
      <w:sdtPr>
        <w:tag w:val="goog_rdk_1"/>
        <w:id w:val="-155175104"/>
        <w:lock w:val="contentLocked"/>
      </w:sdtPr>
      <w:sdtContent>
        <w:tbl>
          <w:tblPr>
            <w:tblStyle w:val="a4"/>
            <w:tblW w:w="8775" w:type="dxa"/>
            <w:tblInd w:w="0" w:type="dxa"/>
            <w:tblLayout w:type="fixed"/>
            <w:tblLook w:val="0600" w:firstRow="0" w:lastRow="0" w:firstColumn="0" w:lastColumn="0" w:noHBand="1" w:noVBand="1"/>
          </w:tblPr>
          <w:tblGrid>
            <w:gridCol w:w="2160"/>
            <w:gridCol w:w="2310"/>
            <w:gridCol w:w="2160"/>
            <w:gridCol w:w="2145"/>
          </w:tblGrid>
          <w:tr w:rsidR="00114F3B" w14:paraId="1DF98D01" w14:textId="77777777">
            <w:trPr>
              <w:trHeight w:val="450"/>
            </w:trPr>
            <w:tc>
              <w:tcPr>
                <w:tcW w:w="216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432E5BE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Objective</w:t>
                </w:r>
              </w:p>
            </w:tc>
            <w:tc>
              <w:tcPr>
                <w:tcW w:w="231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64888C8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w:t>
                </w:r>
              </w:p>
            </w:tc>
            <w:tc>
              <w:tcPr>
                <w:tcW w:w="216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6583E830"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 / Procedure</w:t>
                </w:r>
              </w:p>
            </w:tc>
            <w:tc>
              <w:tcPr>
                <w:tcW w:w="2145"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106F6EC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Output</w:t>
                </w:r>
              </w:p>
            </w:tc>
          </w:tr>
          <w:tr w:rsidR="00114F3B" w14:paraId="04FE52DE" w14:textId="77777777">
            <w:trPr>
              <w:trHeight w:val="1770"/>
            </w:trPr>
            <w:tc>
              <w:tcPr>
                <w:tcW w:w="2160" w:type="dxa"/>
                <w:tcBorders>
                  <w:top w:val="nil"/>
                  <w:left w:val="nil"/>
                  <w:bottom w:val="nil"/>
                  <w:right w:val="nil"/>
                </w:tcBorders>
                <w:shd w:val="clear" w:color="auto" w:fill="FFFFFF"/>
                <w:tcMar>
                  <w:top w:w="0" w:type="dxa"/>
                  <w:left w:w="100" w:type="dxa"/>
                  <w:bottom w:w="0" w:type="dxa"/>
                  <w:right w:w="100" w:type="dxa"/>
                </w:tcMar>
              </w:tcPr>
              <w:p w14:paraId="09A3287F"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1</w:t>
                </w:r>
              </w:p>
            </w:tc>
            <w:tc>
              <w:tcPr>
                <w:tcW w:w="2310" w:type="dxa"/>
                <w:tcBorders>
                  <w:top w:val="nil"/>
                  <w:left w:val="nil"/>
                  <w:bottom w:val="nil"/>
                  <w:right w:val="nil"/>
                </w:tcBorders>
                <w:shd w:val="clear" w:color="auto" w:fill="FFFFFF"/>
                <w:tcMar>
                  <w:top w:w="0" w:type="dxa"/>
                  <w:left w:w="100" w:type="dxa"/>
                  <w:bottom w:w="0" w:type="dxa"/>
                  <w:right w:w="100" w:type="dxa"/>
                </w:tcMar>
              </w:tcPr>
              <w:p w14:paraId="53554E67"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LangChain framework, Gemini text-embedding-004, Supabase pgvector, PyMuPDF, Tesseract OCR</w:t>
                </w:r>
              </w:p>
            </w:tc>
            <w:tc>
              <w:tcPr>
                <w:tcW w:w="2160" w:type="dxa"/>
                <w:tcBorders>
                  <w:top w:val="nil"/>
                  <w:left w:val="nil"/>
                  <w:bottom w:val="nil"/>
                  <w:right w:val="nil"/>
                </w:tcBorders>
                <w:shd w:val="clear" w:color="auto" w:fill="FFFFFF"/>
                <w:tcMar>
                  <w:top w:w="0" w:type="dxa"/>
                  <w:left w:w="100" w:type="dxa"/>
                  <w:bottom w:w="0" w:type="dxa"/>
                  <w:right w:w="100" w:type="dxa"/>
                </w:tcMar>
              </w:tcPr>
              <w:p w14:paraId="0AAD9D16"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Digitization, Semantic Indexing and Metadata Injection, RAG Pipeline Development (Section 3.2.3, Phases 1–3)</w:t>
                </w:r>
              </w:p>
            </w:tc>
            <w:tc>
              <w:tcPr>
                <w:tcW w:w="2145" w:type="dxa"/>
                <w:tcBorders>
                  <w:top w:val="nil"/>
                  <w:left w:val="nil"/>
                  <w:bottom w:val="nil"/>
                  <w:right w:val="nil"/>
                </w:tcBorders>
                <w:shd w:val="clear" w:color="auto" w:fill="FFFFFF"/>
                <w:tcMar>
                  <w:top w:w="0" w:type="dxa"/>
                  <w:left w:w="100" w:type="dxa"/>
                  <w:bottom w:w="0" w:type="dxa"/>
                  <w:right w:w="100" w:type="dxa"/>
                </w:tcMar>
              </w:tcPr>
              <w:p w14:paraId="41701C66"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LLM + RAG Knowledge Retrieval Model</w:t>
                </w:r>
              </w:p>
            </w:tc>
          </w:tr>
          <w:tr w:rsidR="00114F3B" w14:paraId="008D050E" w14:textId="77777777">
            <w:trPr>
              <w:trHeight w:val="2025"/>
            </w:trPr>
            <w:tc>
              <w:tcPr>
                <w:tcW w:w="2160" w:type="dxa"/>
                <w:tcBorders>
                  <w:top w:val="nil"/>
                  <w:left w:val="nil"/>
                  <w:bottom w:val="nil"/>
                  <w:right w:val="nil"/>
                </w:tcBorders>
                <w:shd w:val="clear" w:color="auto" w:fill="FFFFFF"/>
                <w:tcMar>
                  <w:top w:w="0" w:type="dxa"/>
                  <w:left w:w="100" w:type="dxa"/>
                  <w:bottom w:w="0" w:type="dxa"/>
                  <w:right w:w="100" w:type="dxa"/>
                </w:tcMar>
              </w:tcPr>
              <w:p w14:paraId="2BBDD203"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Objective 2</w:t>
                </w:r>
              </w:p>
            </w:tc>
            <w:tc>
              <w:tcPr>
                <w:tcW w:w="2310" w:type="dxa"/>
                <w:tcBorders>
                  <w:top w:val="nil"/>
                  <w:left w:val="nil"/>
                  <w:bottom w:val="nil"/>
                  <w:right w:val="nil"/>
                </w:tcBorders>
                <w:shd w:val="clear" w:color="auto" w:fill="FFFFFF"/>
                <w:tcMar>
                  <w:top w:w="0" w:type="dxa"/>
                  <w:left w:w="100" w:type="dxa"/>
                  <w:bottom w:w="0" w:type="dxa"/>
                  <w:right w:w="100" w:type="dxa"/>
                </w:tcMar>
              </w:tcPr>
              <w:p w14:paraId="2C2E7BE2"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Ragas framework, LangSmith, Golden Dataset (30–50 queries), Shapiro-Wilk test</w:t>
                </w:r>
              </w:p>
            </w:tc>
            <w:tc>
              <w:tcPr>
                <w:tcW w:w="2160" w:type="dxa"/>
                <w:tcBorders>
                  <w:top w:val="nil"/>
                  <w:left w:val="nil"/>
                  <w:bottom w:val="nil"/>
                  <w:right w:val="nil"/>
                </w:tcBorders>
                <w:shd w:val="clear" w:color="auto" w:fill="FFFFFF"/>
                <w:tcMar>
                  <w:top w:w="0" w:type="dxa"/>
                  <w:left w:w="100" w:type="dxa"/>
                  <w:bottom w:w="0" w:type="dxa"/>
                  <w:right w:w="100" w:type="dxa"/>
                </w:tcMar>
              </w:tcPr>
              <w:p w14:paraId="0E5348D3"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 Comparative Analysis using paired-samples t-test or Wilcoxon Signed-Rank Test (Section 3.2.1, 3.2.4, 3.2.5)</w:t>
                </w:r>
              </w:p>
            </w:tc>
            <w:tc>
              <w:tcPr>
                <w:tcW w:w="2145" w:type="dxa"/>
                <w:tcBorders>
                  <w:top w:val="nil"/>
                  <w:left w:val="nil"/>
                  <w:bottom w:val="nil"/>
                  <w:right w:val="nil"/>
                </w:tcBorders>
                <w:shd w:val="clear" w:color="auto" w:fill="FFFFFF"/>
                <w:tcMar>
                  <w:top w:w="0" w:type="dxa"/>
                  <w:left w:w="100" w:type="dxa"/>
                  <w:bottom w:w="0" w:type="dxa"/>
                  <w:right w:w="100" w:type="dxa"/>
                </w:tcMar>
              </w:tcPr>
              <w:p w14:paraId="2C1D7137"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Empirical performance data on Faithfulness and Context Precision</w:t>
                </w:r>
              </w:p>
            </w:tc>
          </w:tr>
          <w:tr w:rsidR="00114F3B" w14:paraId="5E83BC5C" w14:textId="77777777">
            <w:trPr>
              <w:trHeight w:val="1500"/>
            </w:trPr>
            <w:tc>
              <w:tcPr>
                <w:tcW w:w="2160" w:type="dxa"/>
                <w:tcBorders>
                  <w:top w:val="nil"/>
                  <w:left w:val="nil"/>
                  <w:bottom w:val="nil"/>
                  <w:right w:val="nil"/>
                </w:tcBorders>
                <w:shd w:val="clear" w:color="auto" w:fill="FFFFFF"/>
                <w:tcMar>
                  <w:top w:w="0" w:type="dxa"/>
                  <w:left w:w="100" w:type="dxa"/>
                  <w:bottom w:w="0" w:type="dxa"/>
                  <w:right w:w="100" w:type="dxa"/>
                </w:tcMar>
              </w:tcPr>
              <w:p w14:paraId="3D0794CC"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3</w:t>
                </w:r>
              </w:p>
            </w:tc>
            <w:tc>
              <w:tcPr>
                <w:tcW w:w="2310" w:type="dxa"/>
                <w:tcBorders>
                  <w:top w:val="nil"/>
                  <w:left w:val="nil"/>
                  <w:bottom w:val="nil"/>
                  <w:right w:val="nil"/>
                </w:tcBorders>
                <w:shd w:val="clear" w:color="auto" w:fill="FFFFFF"/>
                <w:tcMar>
                  <w:top w:w="0" w:type="dxa"/>
                  <w:left w:w="100" w:type="dxa"/>
                  <w:bottom w:w="0" w:type="dxa"/>
                  <w:right w:w="100" w:type="dxa"/>
                </w:tcMar>
              </w:tcPr>
              <w:p w14:paraId="66E41E1D"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 v19.2.5, Vite v8.0.8, FastAPI v0.135.3, Pydantic, Supabase, Gemini API</w:t>
                </w:r>
              </w:p>
            </w:tc>
            <w:tc>
              <w:tcPr>
                <w:tcW w:w="2160" w:type="dxa"/>
                <w:tcBorders>
                  <w:top w:val="nil"/>
                  <w:left w:val="nil"/>
                  <w:bottom w:val="nil"/>
                  <w:right w:val="nil"/>
                </w:tcBorders>
                <w:shd w:val="clear" w:color="auto" w:fill="FFFFFF"/>
                <w:tcMar>
                  <w:top w:w="0" w:type="dxa"/>
                  <w:left w:w="100" w:type="dxa"/>
                  <w:bottom w:w="0" w:type="dxa"/>
                  <w:right w:w="100" w:type="dxa"/>
                </w:tcMar>
              </w:tcPr>
              <w:p w14:paraId="58643931"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Full-stack System Integration of the RAG backend with the web-based frontend (Section 3.2.3, Phase 4)</w:t>
                </w:r>
              </w:p>
            </w:tc>
            <w:tc>
              <w:tcPr>
                <w:tcW w:w="2145" w:type="dxa"/>
                <w:tcBorders>
                  <w:top w:val="nil"/>
                  <w:left w:val="nil"/>
                  <w:bottom w:val="nil"/>
                  <w:right w:val="nil"/>
                </w:tcBorders>
                <w:shd w:val="clear" w:color="auto" w:fill="FFFFFF"/>
                <w:tcMar>
                  <w:top w:w="0" w:type="dxa"/>
                  <w:left w:w="100" w:type="dxa"/>
                  <w:bottom w:w="0" w:type="dxa"/>
                  <w:right w:w="100" w:type="dxa"/>
                </w:tcMar>
              </w:tcPr>
              <w:p w14:paraId="17F2F3E8"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Web-Based Thesis Library System</w:t>
                </w:r>
              </w:p>
            </w:tc>
          </w:tr>
          <w:tr w:rsidR="00114F3B" w14:paraId="68C4137D" w14:textId="77777777">
            <w:trPr>
              <w:trHeight w:val="2295"/>
            </w:trPr>
            <w:tc>
              <w:tcPr>
                <w:tcW w:w="2160" w:type="dxa"/>
                <w:tcBorders>
                  <w:top w:val="nil"/>
                  <w:left w:val="nil"/>
                  <w:bottom w:val="nil"/>
                  <w:right w:val="nil"/>
                </w:tcBorders>
                <w:shd w:val="clear" w:color="auto" w:fill="FFFFFF"/>
                <w:tcMar>
                  <w:top w:w="0" w:type="dxa"/>
                  <w:left w:w="100" w:type="dxa"/>
                  <w:bottom w:w="0" w:type="dxa"/>
                  <w:right w:w="100" w:type="dxa"/>
                </w:tcMar>
              </w:tcPr>
              <w:p w14:paraId="7EDDEE49"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4</w:t>
                </w:r>
              </w:p>
            </w:tc>
            <w:tc>
              <w:tcPr>
                <w:tcW w:w="2310" w:type="dxa"/>
                <w:tcBorders>
                  <w:top w:val="nil"/>
                  <w:left w:val="nil"/>
                  <w:bottom w:val="nil"/>
                  <w:right w:val="nil"/>
                </w:tcBorders>
                <w:shd w:val="clear" w:color="auto" w:fill="FFFFFF"/>
                <w:tcMar>
                  <w:top w:w="0" w:type="dxa"/>
                  <w:left w:w="100" w:type="dxa"/>
                  <w:bottom w:w="0" w:type="dxa"/>
                  <w:right w:w="100" w:type="dxa"/>
                </w:tcMar>
              </w:tcPr>
              <w:p w14:paraId="230B50B2"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PyTest, Apache JMeter, SonarQube, Pylint, ESLint, ISO/IEC 25010 internal quality criteria</w:t>
                </w:r>
              </w:p>
            </w:tc>
            <w:tc>
              <w:tcPr>
                <w:tcW w:w="2160" w:type="dxa"/>
                <w:tcBorders>
                  <w:top w:val="nil"/>
                  <w:left w:val="nil"/>
                  <w:bottom w:val="nil"/>
                  <w:right w:val="nil"/>
                </w:tcBorders>
                <w:shd w:val="clear" w:color="auto" w:fill="FFFFFF"/>
                <w:tcMar>
                  <w:top w:w="0" w:type="dxa"/>
                  <w:left w:w="100" w:type="dxa"/>
                  <w:bottom w:w="0" w:type="dxa"/>
                  <w:right w:w="100" w:type="dxa"/>
                </w:tcMar>
              </w:tcPr>
              <w:p w14:paraId="04237EFB"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software testing: unit testing (PyTest), load testing (JMeter), static code analysis (SonarQube), and code quality linting (Pylint/ESLint) (Section 3.2.4)</w:t>
                </w:r>
              </w:p>
            </w:tc>
            <w:tc>
              <w:tcPr>
                <w:tcW w:w="2145" w:type="dxa"/>
                <w:tcBorders>
                  <w:top w:val="nil"/>
                  <w:left w:val="nil"/>
                  <w:bottom w:val="nil"/>
                  <w:right w:val="nil"/>
                </w:tcBorders>
                <w:shd w:val="clear" w:color="auto" w:fill="FFFFFF"/>
                <w:tcMar>
                  <w:top w:w="0" w:type="dxa"/>
                  <w:left w:w="100" w:type="dxa"/>
                  <w:bottom w:w="0" w:type="dxa"/>
                  <w:right w:w="100" w:type="dxa"/>
                </w:tcMar>
              </w:tcPr>
              <w:p w14:paraId="60CB0D24"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ISO/IEC 25010 internal quality ratings for Functional Suitability, Performance Efficiency, Reliability, and Maintainability</w:t>
                </w:r>
              </w:p>
            </w:tc>
          </w:tr>
        </w:tbl>
      </w:sdtContent>
    </w:sdt>
    <w:p w14:paraId="452C9473"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 xml:space="preserve">3.2.2 </w:t>
      </w:r>
      <w:r>
        <w:rPr>
          <w:rFonts w:ascii="Times New Roman" w:eastAsia="Times New Roman" w:hAnsi="Times New Roman" w:cs="Times New Roman"/>
          <w:i/>
          <w:iCs/>
          <w:sz w:val="24"/>
          <w:szCs w:val="24"/>
        </w:rPr>
        <w:t>Software Development Life Cycle</w:t>
      </w:r>
    </w:p>
    <w:p w14:paraId="5A47EB26"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systematically guide the engineering of the Centralized AI-Powered Thesis Library System, this study will adopt the Iterative Development Model as its Software Development Life Cycle (SDLC) methodology. The Iterative Model structures the development process into repeated cycles, where each iteration produces a refined, progressively functional version of the system. This approach is selected because the RAG architecture requires empirical tuning of parameters such as chunk sizes, overlap configurations, similarity thresholds, and prompt structures, which necessitate multiple cycles of development, testing, and refinement before final deployment.</w:t>
      </w:r>
    </w:p>
    <w:p w14:paraId="1414F5D0"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As illustrated in Figure 7, the development process is divided into the following iterative phases:</w:t>
      </w:r>
    </w:p>
    <w:p w14:paraId="0326DA59"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1. </w:t>
      </w:r>
      <w:r>
        <w:rPr>
          <w:rFonts w:ascii="Times New Roman" w:eastAsia="Times New Roman" w:hAnsi="Times New Roman" w:cs="Times New Roman"/>
          <w:i/>
          <w:iCs/>
          <w:color w:val="222222"/>
          <w:sz w:val="24"/>
          <w:szCs w:val="24"/>
        </w:rPr>
        <w:t>Planning and Requirements Analysis.</w:t>
      </w:r>
      <w:r>
        <w:rPr>
          <w:rFonts w:ascii="Times New Roman" w:eastAsia="Times New Roman" w:hAnsi="Times New Roman" w:cs="Times New Roman"/>
          <w:color w:val="222222"/>
          <w:sz w:val="24"/>
          <w:szCs w:val="24"/>
        </w:rPr>
        <w:t xml:space="preserve"> The researchers will identify the functional and non-functional requirements of the system based on the study's specific objectives and the operational needs of the CCSICT department. This phase includes defining the system's core features: document upload and digitization, semantic search, AI-powered query response with traceable citations, and administrative management. The software and hardware requirements outlined in Section 3.1 will serve as the technical constraints for this phase.</w:t>
      </w:r>
    </w:p>
    <w:p w14:paraId="04933B23"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2. </w:t>
      </w:r>
      <w:r>
        <w:rPr>
          <w:rFonts w:ascii="Times New Roman" w:eastAsia="Times New Roman" w:hAnsi="Times New Roman" w:cs="Times New Roman"/>
          <w:i/>
          <w:iCs/>
          <w:color w:val="222222"/>
          <w:sz w:val="24"/>
          <w:szCs w:val="24"/>
        </w:rPr>
        <w:t>System Design.</w:t>
      </w:r>
      <w:r>
        <w:rPr>
          <w:rFonts w:ascii="Times New Roman" w:eastAsia="Times New Roman" w:hAnsi="Times New Roman" w:cs="Times New Roman"/>
          <w:color w:val="222222"/>
          <w:sz w:val="24"/>
          <w:szCs w:val="24"/>
        </w:rPr>
        <w:t xml:space="preserve"> Based on the gathered requirements, the researchers will design the system architecture, database schema, user interface wireframes, and the data flow of the RAG pipeline. The four-layer system architecture illustrated in Figure 8 (User Interface Layer, Application Layer, Embedding Layer, and Data Storage Layer) will serve as the primary design blueprint. This phase will also produce the use case diagrams and entity-relationship diagrams necessary for structuring the </w:t>
      </w:r>
      <w:proofErr w:type="spellStart"/>
      <w:r>
        <w:rPr>
          <w:rFonts w:ascii="Times New Roman" w:eastAsia="Times New Roman" w:hAnsi="Times New Roman" w:cs="Times New Roman"/>
          <w:color w:val="222222"/>
          <w:sz w:val="24"/>
          <w:szCs w:val="24"/>
        </w:rPr>
        <w:t>Supabase</w:t>
      </w:r>
      <w:proofErr w:type="spellEnd"/>
      <w:r>
        <w:rPr>
          <w:rFonts w:ascii="Times New Roman" w:eastAsia="Times New Roman" w:hAnsi="Times New Roman" w:cs="Times New Roman"/>
          <w:color w:val="222222"/>
          <w:sz w:val="24"/>
          <w:szCs w:val="24"/>
        </w:rPr>
        <w:t xml:space="preserve"> database and defining user interactions.</w:t>
      </w:r>
    </w:p>
    <w:p w14:paraId="1F50670A" w14:textId="77777777" w:rsidR="00114F3B" w:rsidRDefault="00000000">
      <w:pPr>
        <w:spacing w:before="240" w:after="60" w:line="480" w:lineRule="auto"/>
        <w:ind w:firstLine="720"/>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4"/>
          <w:szCs w:val="24"/>
        </w:rPr>
        <w:lastRenderedPageBreak/>
        <w:t xml:space="preserve">3. </w:t>
      </w:r>
      <w:r>
        <w:rPr>
          <w:rFonts w:ascii="Times New Roman" w:eastAsia="Times New Roman" w:hAnsi="Times New Roman" w:cs="Times New Roman"/>
          <w:i/>
          <w:iCs/>
          <w:color w:val="222222"/>
          <w:sz w:val="24"/>
          <w:szCs w:val="24"/>
        </w:rPr>
        <w:t>Implementation.</w:t>
      </w:r>
      <w:r>
        <w:rPr>
          <w:rFonts w:ascii="Times New Roman" w:eastAsia="Times New Roman" w:hAnsi="Times New Roman" w:cs="Times New Roman"/>
          <w:color w:val="222222"/>
          <w:sz w:val="24"/>
          <w:szCs w:val="24"/>
        </w:rPr>
        <w:t xml:space="preserve"> The system will be developed in iterative cycles following the four technical phases described in Section 3.2.3: (a) Data Digitization, (b) Semantic Indexing and Metadata Injection, (c) RAG Pipeline Development, and (d) System Integration. Each phase will be implemented, tested, and validated before proceeding to the next. Within the RAG Pipeline Development phase specifically, multiple iterations will be conducted to optimize the chunk size, embedding quality, retrieval threshold, and context reordering configurations.</w:t>
      </w:r>
    </w:p>
    <w:p w14:paraId="6A8DB360"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4. </w:t>
      </w:r>
      <w:r>
        <w:rPr>
          <w:rFonts w:ascii="Times New Roman" w:eastAsia="Times New Roman" w:hAnsi="Times New Roman" w:cs="Times New Roman"/>
          <w:i/>
          <w:iCs/>
          <w:color w:val="222222"/>
          <w:sz w:val="24"/>
          <w:szCs w:val="24"/>
        </w:rPr>
        <w:t>Testing and Evaluation.</w:t>
      </w:r>
      <w:r>
        <w:rPr>
          <w:rFonts w:ascii="Times New Roman" w:eastAsia="Times New Roman" w:hAnsi="Times New Roman" w:cs="Times New Roman"/>
          <w:color w:val="222222"/>
          <w:sz w:val="24"/>
          <w:szCs w:val="24"/>
        </w:rPr>
        <w:t xml:space="preserve"> At the end of each iteration, the system will undergo testing to verify functional correctness and retrieval performance. The comparative analysis between the baseline LLM and the proposed RAG + LLM model (Objective 2) will be executed during this phase using the Ragas framework. Upon completion of the final iteration, the fully integrated system will be subjected to formal quality evaluation against the ISO/IEC 25010 standard using the automated testing tools specified in Section 3.2.4.</w:t>
      </w:r>
    </w:p>
    <w:p w14:paraId="59276924" w14:textId="77777777" w:rsidR="00114F3B" w:rsidRDefault="00000000">
      <w:pPr>
        <w:spacing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5. </w:t>
      </w:r>
      <w:r>
        <w:rPr>
          <w:rFonts w:ascii="Times New Roman" w:eastAsia="Times New Roman" w:hAnsi="Times New Roman" w:cs="Times New Roman"/>
          <w:i/>
          <w:iCs/>
          <w:color w:val="222222"/>
          <w:sz w:val="24"/>
          <w:szCs w:val="24"/>
        </w:rPr>
        <w:t>Deployment and Review.</w:t>
      </w:r>
      <w:r>
        <w:rPr>
          <w:rFonts w:ascii="Times New Roman" w:eastAsia="Times New Roman" w:hAnsi="Times New Roman" w:cs="Times New Roman"/>
          <w:color w:val="222222"/>
          <w:sz w:val="24"/>
          <w:szCs w:val="24"/>
        </w:rPr>
        <w:t xml:space="preserve"> The finalized system will be deployed in a controlled environment for demonstration and final validation. Post-deployment observations and evaluation results will be documented as part of the study's findings. Each iteration refines the output of the previous cycle, ensuring that the final system is empirically optimized before formal evaluation. This iterative approach ensures that technical issues identified during testing such as low retrieval precision, suboptimal chunking, or high response latency are corrected in subsequent development cycles rather than discovered only after full system completion.</w:t>
      </w:r>
    </w:p>
    <w:p w14:paraId="57F96497" w14:textId="77777777" w:rsidR="00114F3B" w:rsidRDefault="00114F3B">
      <w:pPr>
        <w:spacing w:before="240" w:after="60" w:line="480" w:lineRule="auto"/>
        <w:jc w:val="both"/>
        <w:rPr>
          <w:rFonts w:ascii="Times New Roman" w:eastAsia="Times New Roman" w:hAnsi="Times New Roman" w:cs="Times New Roman"/>
          <w:color w:val="222222"/>
          <w:sz w:val="24"/>
          <w:szCs w:val="24"/>
        </w:rPr>
      </w:pPr>
    </w:p>
    <w:p w14:paraId="13E0DA16" w14:textId="77777777" w:rsidR="000C3B61" w:rsidRDefault="000C3B61">
      <w:pPr>
        <w:spacing w:before="240" w:line="480" w:lineRule="auto"/>
        <w:jc w:val="both"/>
        <w:rPr>
          <w:rFonts w:ascii="Times New Roman" w:eastAsia="Times New Roman" w:hAnsi="Times New Roman" w:cs="Times New Roman"/>
          <w:b/>
          <w:bCs/>
          <w:sz w:val="24"/>
          <w:szCs w:val="24"/>
        </w:rPr>
      </w:pPr>
    </w:p>
    <w:p w14:paraId="152B38E7" w14:textId="77777777" w:rsidR="000C3B61" w:rsidRDefault="000C3B61">
      <w:pPr>
        <w:spacing w:before="240" w:line="480" w:lineRule="auto"/>
        <w:jc w:val="both"/>
        <w:rPr>
          <w:rFonts w:ascii="Times New Roman" w:eastAsia="Times New Roman" w:hAnsi="Times New Roman" w:cs="Times New Roman"/>
          <w:b/>
          <w:bCs/>
          <w:sz w:val="24"/>
          <w:szCs w:val="24"/>
        </w:rPr>
      </w:pPr>
    </w:p>
    <w:p w14:paraId="522BC742" w14:textId="77777777" w:rsidR="000C3B61" w:rsidRDefault="000C3B61">
      <w:pPr>
        <w:spacing w:before="240" w:line="480" w:lineRule="auto"/>
        <w:jc w:val="both"/>
        <w:rPr>
          <w:rFonts w:ascii="Times New Roman" w:eastAsia="Times New Roman" w:hAnsi="Times New Roman" w:cs="Times New Roman"/>
          <w:b/>
          <w:bCs/>
          <w:sz w:val="24"/>
          <w:szCs w:val="24"/>
        </w:rPr>
      </w:pPr>
    </w:p>
    <w:p w14:paraId="1594DEE2" w14:textId="3632B3E2"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 7</w:t>
      </w:r>
    </w:p>
    <w:p w14:paraId="0B373868" w14:textId="77777777" w:rsidR="00114F3B" w:rsidRDefault="00000000">
      <w:pPr>
        <w:spacing w:before="240" w:line="480" w:lineRule="auto"/>
        <w:jc w:val="both"/>
        <w:rPr>
          <w:rFonts w:ascii="Times New Roman" w:eastAsia="Times New Roman" w:hAnsi="Times New Roman" w:cs="Times New Roman"/>
          <w:i/>
          <w:iCs/>
          <w:color w:val="222222"/>
          <w:sz w:val="28"/>
          <w:szCs w:val="28"/>
        </w:rPr>
      </w:pPr>
      <w:r>
        <w:rPr>
          <w:rFonts w:ascii="Times New Roman" w:eastAsia="Times New Roman" w:hAnsi="Times New Roman" w:cs="Times New Roman"/>
          <w:i/>
          <w:iCs/>
          <w:color w:val="222222"/>
          <w:sz w:val="24"/>
          <w:szCs w:val="24"/>
        </w:rPr>
        <w:t>Iterative Software Development Life Cycle Model</w:t>
      </w:r>
      <w:r>
        <w:rPr>
          <w:noProof/>
        </w:rPr>
        <w:drawing>
          <wp:anchor distT="114300" distB="114300" distL="114300" distR="114300" simplePos="0" relativeHeight="251664384" behindDoc="0" locked="0" layoutInCell="1" hidden="0" allowOverlap="1" wp14:anchorId="2ABC2864" wp14:editId="0F6654A8">
            <wp:simplePos x="0" y="0"/>
            <wp:positionH relativeFrom="column">
              <wp:posOffset>-620549</wp:posOffset>
            </wp:positionH>
            <wp:positionV relativeFrom="paragraph">
              <wp:posOffset>504825</wp:posOffset>
            </wp:positionV>
            <wp:extent cx="7067550" cy="3559522"/>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7067550" cy="3559522"/>
                    </a:xfrm>
                    <a:prstGeom prst="rect">
                      <a:avLst/>
                    </a:prstGeom>
                    <a:ln/>
                  </pic:spPr>
                </pic:pic>
              </a:graphicData>
            </a:graphic>
          </wp:anchor>
        </w:drawing>
      </w:r>
    </w:p>
    <w:p w14:paraId="607B9903" w14:textId="77777777" w:rsidR="00114F3B" w:rsidRDefault="00114F3B">
      <w:pPr>
        <w:spacing w:before="240" w:after="60" w:line="480" w:lineRule="auto"/>
        <w:jc w:val="both"/>
        <w:rPr>
          <w:rFonts w:ascii="Times New Roman" w:eastAsia="Times New Roman" w:hAnsi="Times New Roman" w:cs="Times New Roman"/>
          <w:b/>
          <w:bCs/>
          <w:i/>
          <w:iCs/>
          <w:sz w:val="24"/>
          <w:szCs w:val="24"/>
        </w:rPr>
      </w:pPr>
    </w:p>
    <w:p w14:paraId="00AA00E1"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3.2.3 System Procedures</w:t>
      </w:r>
    </w:p>
    <w:p w14:paraId="14F063B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construction of the system will be divided into four primary computational phases:</w:t>
      </w:r>
    </w:p>
    <w:p w14:paraId="652E7B96" w14:textId="5A6D1F82" w:rsidR="00114F3B" w:rsidRDefault="00000000">
      <w:pPr>
        <w:numPr>
          <w:ilvl w:val="0"/>
          <w:numId w:val="1"/>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Digitization:</w:t>
      </w:r>
      <w:r>
        <w:rPr>
          <w:rFonts w:ascii="Times New Roman" w:eastAsia="Times New Roman" w:hAnsi="Times New Roman" w:cs="Times New Roman"/>
          <w:sz w:val="24"/>
          <w:szCs w:val="24"/>
        </w:rPr>
        <w:t xml:space="preserve"> Physical, hardbound thesis manuscripts from the CCSICT archives will be converted into machine-readable digital formats (PDFs). The system will primarily use the </w:t>
      </w:r>
      <w:proofErr w:type="spellStart"/>
      <w:r>
        <w:rPr>
          <w:rFonts w:ascii="Times New Roman" w:eastAsia="Times New Roman" w:hAnsi="Times New Roman" w:cs="Times New Roman"/>
          <w:sz w:val="24"/>
          <w:szCs w:val="24"/>
        </w:rPr>
        <w:t>PyMuPDF</w:t>
      </w:r>
      <w:proofErr w:type="spellEnd"/>
      <w:r>
        <w:rPr>
          <w:rFonts w:ascii="Times New Roman" w:eastAsia="Times New Roman" w:hAnsi="Times New Roman" w:cs="Times New Roman"/>
          <w:sz w:val="24"/>
          <w:szCs w:val="24"/>
        </w:rPr>
        <w:t xml:space="preserve"> library to extract text from digital-native PDF files. For physical manuscripts that result in image-based scanned PDFs, an Optical Character Recognition (OCR) engine (Tesseract OCR or </w:t>
      </w:r>
      <w:proofErr w:type="spellStart"/>
      <w:r>
        <w:rPr>
          <w:rFonts w:ascii="Times New Roman" w:eastAsia="Times New Roman" w:hAnsi="Times New Roman" w:cs="Times New Roman"/>
          <w:sz w:val="24"/>
          <w:szCs w:val="24"/>
        </w:rPr>
        <w:t>EasyOCR</w:t>
      </w:r>
      <w:proofErr w:type="spellEnd"/>
      <w:r>
        <w:rPr>
          <w:rFonts w:ascii="Times New Roman" w:eastAsia="Times New Roman" w:hAnsi="Times New Roman" w:cs="Times New Roman"/>
          <w:sz w:val="24"/>
          <w:szCs w:val="24"/>
        </w:rPr>
        <w:t xml:space="preserve">) will be integrated. To mitigate the 'Garbage In, Garbage Out' (GIGO) risk, a programmatic data cleaning pipeline will be executed following text extraction. Layout-aware parsing and Regular Expressions (Regex) will be deployed to sanitize the data by stripping out OCR </w:t>
      </w:r>
      <w:r>
        <w:rPr>
          <w:rFonts w:ascii="Times New Roman" w:eastAsia="Times New Roman" w:hAnsi="Times New Roman" w:cs="Times New Roman"/>
          <w:sz w:val="24"/>
          <w:szCs w:val="24"/>
        </w:rPr>
        <w:lastRenderedPageBreak/>
        <w:t xml:space="preserve">artifacts, page numbers, headers, footers, and the excluded sections (Table of Contents and Bibliographies). This ensures the embedding model only receives high-quality, noise-free text inputs. To prevent vector space corruption from faded physical copies, the Regex pipeline will programmatically discard any text chunk where non-alphanumeric characters exceed 15% of the string.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when complex visuals like ERDs are bypassed by the parser, the system will inject a standardized text placeholder “FIGURE REDACTED FOR SEMANTIC INDEXING” to maintain contextual integrity for the generative model.</w:t>
      </w:r>
    </w:p>
    <w:p w14:paraId="4348047E" w14:textId="77777777" w:rsidR="00114F3B"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Indexing and Metadata Injection: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The cleaned text will be processed by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RecursiveCharacterTextSplitter</w:t>
      </w:r>
      <w:proofErr w:type="spellEnd"/>
      <w:r>
        <w:rPr>
          <w:rFonts w:ascii="Times New Roman" w:eastAsia="Times New Roman" w:hAnsi="Times New Roman" w:cs="Times New Roman"/>
          <w:sz w:val="24"/>
          <w:szCs w:val="24"/>
        </w:rPr>
        <w:t xml:space="preserve">, configured to an empirically optimized 800-token chunk size with a 100-token overlap to preserve contextual boundaries. Crucially, before these chunks are embedded, Metadata Tagging will be applied. Each text chunk will be programmatically tagged with a JSON object containing its source document's Title, Author, Track, and Year. Finally, the Gemini text-embedding-004 model will convert these enriched blocks into vectors, storing them alongside their metadata in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database. This strict metadata-to-chunk mapping ensures the generative model has the exact variables needed to produce highly traceable, accurate in-line citations.</w:t>
      </w:r>
    </w:p>
    <w:p w14:paraId="3CE13396" w14:textId="095F9A92" w:rsidR="00114F3B"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RAG Pipeline Development: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RetrievalQA</w:t>
      </w:r>
      <w:proofErr w:type="spellEnd"/>
      <w:r>
        <w:rPr>
          <w:rFonts w:ascii="Times New Roman" w:eastAsia="Times New Roman" w:hAnsi="Times New Roman" w:cs="Times New Roman"/>
          <w:sz w:val="24"/>
          <w:szCs w:val="24"/>
        </w:rPr>
        <w:t xml:space="preserve">' chains will be engineered to establish a closed-loop data pipeline. When a user inputs a query, the system will retrieve the top-k most relevant semantic vectors from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To mathematically solve the 'Lost in the Middle' phenomenon, the RAG pipeline will implement a context reordering algorithm, such as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LongContextReorder</w:t>
      </w:r>
      <w:proofErr w:type="spellEnd"/>
      <w:r>
        <w:rPr>
          <w:rFonts w:ascii="Times New Roman" w:eastAsia="Times New Roman" w:hAnsi="Times New Roman" w:cs="Times New Roman"/>
          <w:sz w:val="24"/>
          <w:szCs w:val="24"/>
        </w:rPr>
        <w:t xml:space="preserve">, before feeding the text into the Gemini API prompt context. This ensures the most critically relevant vectors are placed at the very beginning and very end of the prompt window, where the </w:t>
      </w:r>
      <w:r>
        <w:rPr>
          <w:rFonts w:ascii="Times New Roman" w:eastAsia="Times New Roman" w:hAnsi="Times New Roman" w:cs="Times New Roman"/>
          <w:sz w:val="24"/>
          <w:szCs w:val="24"/>
        </w:rPr>
        <w:lastRenderedPageBreak/>
        <w:t>LLM's attention mechanism is mathematically strongest. Additionally, the pipeline will enforce a minimum cosine similarity threshold; if no retrieved chunk exceeds this threshold, the system will explicitly inform the user that no relevant thesis was found rather than generating an ungrounded response.</w:t>
      </w:r>
      <w:r w:rsidR="00F41D57" w:rsidRPr="00F41D57">
        <w:t xml:space="preserve"> </w:t>
      </w:r>
      <w:r w:rsidR="00F41D57" w:rsidRPr="00F41D57">
        <w:rPr>
          <w:rFonts w:ascii="Times New Roman" w:eastAsia="Times New Roman" w:hAnsi="Times New Roman" w:cs="Times New Roman"/>
          <w:sz w:val="24"/>
          <w:szCs w:val="24"/>
        </w:rPr>
        <w:t>To maintain originality within the academic library, the system automatically screens new submissions against existing documents. It calculates the similarity between texts, and if a new entry reaches an 85% match or higher, the system flags it. This triggers an automated warning for the AI model, ensuring that any potential duplicates are clearly identified in the output along with their exact match percentage.</w:t>
      </w:r>
    </w:p>
    <w:p w14:paraId="2684C4DB" w14:textId="77777777" w:rsidR="00114F3B" w:rsidRDefault="00000000">
      <w:pPr>
        <w:numPr>
          <w:ilvl w:val="0"/>
          <w:numId w:val="1"/>
        </w:numPr>
        <w:spacing w:after="30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Integration:</w:t>
      </w:r>
      <w:r>
        <w:rPr>
          <w:rFonts w:ascii="Times New Roman" w:eastAsia="Times New Roman" w:hAnsi="Times New Roman" w:cs="Times New Roman"/>
          <w:sz w:val="24"/>
          <w:szCs w:val="24"/>
        </w:rPr>
        <w:t xml:space="preserve"> The backend RAG algorithm will be merged with the frontend web interface to create a cohesive platform where students and faculty can execute literature reviews, conduct novelty scanning, and generate institutional research analytics.</w:t>
      </w:r>
    </w:p>
    <w:p w14:paraId="4E80C459" w14:textId="77777777" w:rsidR="00114F3B" w:rsidRDefault="00000000">
      <w:pPr>
        <w:spacing w:before="24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3.2.4 System Evaluation</w:t>
      </w:r>
    </w:p>
    <w:p w14:paraId="3CF96C6A" w14:textId="1856412A"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ab/>
      </w:r>
      <w:r>
        <w:rPr>
          <w:rFonts w:ascii="Times New Roman" w:eastAsia="Times New Roman" w:hAnsi="Times New Roman" w:cs="Times New Roman"/>
          <w:sz w:val="24"/>
          <w:szCs w:val="24"/>
        </w:rPr>
        <w:t>To facilitate a rigorous comparative analysis, the researchers will utilize industry-standard Machine Learning Operations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xml:space="preserve">) frameworks. </w:t>
      </w:r>
      <w:proofErr w:type="spellStart"/>
      <w:r>
        <w:rPr>
          <w:rFonts w:ascii="Times New Roman" w:eastAsia="Times New Roman" w:hAnsi="Times New Roman" w:cs="Times New Roman"/>
          <w:sz w:val="24"/>
          <w:szCs w:val="24"/>
        </w:rPr>
        <w:t>LangSmith</w:t>
      </w:r>
      <w:proofErr w:type="spellEnd"/>
      <w:r>
        <w:rPr>
          <w:rFonts w:ascii="Times New Roman" w:eastAsia="Times New Roman" w:hAnsi="Times New Roman" w:cs="Times New Roman"/>
          <w:sz w:val="24"/>
          <w:szCs w:val="24"/>
        </w:rPr>
        <w:t xml:space="preserve"> will be integrated within the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orchestration layer to trace and log precise computational latency during the retrieval process.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to quantitatively measure generation accuracy, the study will employ the Ragas (RAG Assessment) framework to mathematically evaluate the architecture's capacity to maximize factual grounding and minimize out-of-domain hallucinations, calculating automated reference-free scores for Faithfulness and Context Precision.</w:t>
      </w:r>
    </w:p>
    <w:p w14:paraId="47C0EF6E"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software product quality of the developed platform will be assessed according to established international guidelines, focusing entirely on internal quality characteristics.  The four selected criteria Functional Suitability, Performance Efficiency, Reliability, and </w:t>
      </w:r>
      <w:r>
        <w:rPr>
          <w:rFonts w:ascii="Times New Roman" w:eastAsia="Times New Roman" w:hAnsi="Times New Roman" w:cs="Times New Roman"/>
          <w:sz w:val="24"/>
          <w:szCs w:val="24"/>
        </w:rPr>
        <w:lastRenderedPageBreak/>
        <w:t>Maintainability represent the internal quality characteristics of ISO/IEC 25010 that can be objectively measured through automated instrumentation. External quality characteristics such as Usability, which require subjective end-user evaluation, are excluded from this study's scope to maintain a purely technical, bias-free evaluation methodology. Automated testing tools will evaluate the system based on four specific metrics derived from the ISO/IEC 25010 standard:</w:t>
      </w:r>
    </w:p>
    <w:p w14:paraId="4FAE2F65"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 Suitability:</w:t>
      </w:r>
      <w:r>
        <w:rPr>
          <w:rFonts w:ascii="Times New Roman" w:eastAsia="Times New Roman" w:hAnsi="Times New Roman" w:cs="Times New Roman"/>
          <w:sz w:val="24"/>
          <w:szCs w:val="24"/>
        </w:rPr>
        <w:t xml:space="preserve"> Evaluated internally by verifying the accuracy of system functions and API endpoints through automated unit testing using </w:t>
      </w:r>
      <w:proofErr w:type="spellStart"/>
      <w:r>
        <w:rPr>
          <w:rFonts w:ascii="Times New Roman" w:eastAsia="Times New Roman" w:hAnsi="Times New Roman" w:cs="Times New Roman"/>
          <w:sz w:val="24"/>
          <w:szCs w:val="24"/>
        </w:rPr>
        <w:t>PyTest</w:t>
      </w:r>
      <w:proofErr w:type="spellEnd"/>
      <w:r>
        <w:rPr>
          <w:rFonts w:ascii="Times New Roman" w:eastAsia="Times New Roman" w:hAnsi="Times New Roman" w:cs="Times New Roman"/>
          <w:sz w:val="24"/>
          <w:szCs w:val="24"/>
        </w:rPr>
        <w:t xml:space="preserve"> and by conducting algorithmic evaluation of the RAG pipeline using the Ragas framework.</w:t>
      </w:r>
    </w:p>
    <w:p w14:paraId="685D06C3" w14:textId="2D48DD41"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Efficiency:</w:t>
      </w:r>
      <w:r>
        <w:rPr>
          <w:rFonts w:ascii="Times New Roman" w:eastAsia="Times New Roman" w:hAnsi="Times New Roman" w:cs="Times New Roman"/>
          <w:sz w:val="24"/>
          <w:szCs w:val="24"/>
        </w:rPr>
        <w:t xml:space="preserve"> Measured at the architectural level by tracking algorithmic latency and token consumption using </w:t>
      </w:r>
      <w:proofErr w:type="spellStart"/>
      <w:r>
        <w:rPr>
          <w:rFonts w:ascii="Times New Roman" w:eastAsia="Times New Roman" w:hAnsi="Times New Roman" w:cs="Times New Roman"/>
          <w:sz w:val="24"/>
          <w:szCs w:val="24"/>
        </w:rPr>
        <w:t>LangSmith</w:t>
      </w:r>
      <w:proofErr w:type="spellEnd"/>
      <w:r>
        <w:rPr>
          <w:rFonts w:ascii="Times New Roman" w:eastAsia="Times New Roman" w:hAnsi="Times New Roman" w:cs="Times New Roman"/>
          <w:sz w:val="24"/>
          <w:szCs w:val="24"/>
        </w:rPr>
        <w:t>, and by stress</w:t>
      </w:r>
      <w:r w:rsidR="00BC57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testing API endpoints using Apache JMeter to simulate concurrent system loads.</w:t>
      </w:r>
    </w:p>
    <w:p w14:paraId="53D95535"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Assessed by conducting continuous static code analysis using SonarQube to identify logic flaws, unhandled exceptions, memory leaks, and potential fault points within the backend architecture.</w:t>
      </w:r>
    </w:p>
    <w:p w14:paraId="53A6C172"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Maintainability:</w:t>
      </w:r>
      <w:r>
        <w:rPr>
          <w:rFonts w:ascii="Times New Roman" w:eastAsia="Times New Roman" w:hAnsi="Times New Roman" w:cs="Times New Roman"/>
          <w:sz w:val="24"/>
          <w:szCs w:val="24"/>
        </w:rPr>
        <w:t xml:space="preserve"> Evaluated by generating automated code quality and structural complexity scores using linting tools such as </w:t>
      </w:r>
      <w:proofErr w:type="spellStart"/>
      <w:r>
        <w:rPr>
          <w:rFonts w:ascii="Times New Roman" w:eastAsia="Times New Roman" w:hAnsi="Times New Roman" w:cs="Times New Roman"/>
          <w:sz w:val="24"/>
          <w:szCs w:val="24"/>
        </w:rPr>
        <w:t>Pylint</w:t>
      </w:r>
      <w:proofErr w:type="spellEnd"/>
      <w:r>
        <w:rPr>
          <w:rFonts w:ascii="Times New Roman" w:eastAsia="Times New Roman" w:hAnsi="Times New Roman" w:cs="Times New Roman"/>
          <w:sz w:val="24"/>
          <w:szCs w:val="24"/>
        </w:rPr>
        <w:t xml:space="preserve"> for Python and </w:t>
      </w:r>
      <w:proofErr w:type="spellStart"/>
      <w:r>
        <w:rPr>
          <w:rFonts w:ascii="Times New Roman" w:eastAsia="Times New Roman" w:hAnsi="Times New Roman" w:cs="Times New Roman"/>
          <w:sz w:val="24"/>
          <w:szCs w:val="24"/>
        </w:rPr>
        <w:t>ESLint</w:t>
      </w:r>
      <w:proofErr w:type="spellEnd"/>
      <w:r>
        <w:rPr>
          <w:rFonts w:ascii="Times New Roman" w:eastAsia="Times New Roman" w:hAnsi="Times New Roman" w:cs="Times New Roman"/>
          <w:sz w:val="24"/>
          <w:szCs w:val="24"/>
        </w:rPr>
        <w:t xml:space="preserve"> for React to ensure code modularity, adherence to standards, and reduced technical debt.</w:t>
      </w:r>
    </w:p>
    <w:p w14:paraId="3F582188"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3.2.5 Statistical Treatment of Data</w:t>
      </w:r>
    </w:p>
    <w:p w14:paraId="330B468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a rigorous quantitative analysis, the data gathered from the experimental testing and system evaluation will be subjected to the following statistical treatments:</w:t>
      </w:r>
    </w:p>
    <w:p w14:paraId="1F02CF51" w14:textId="77777777" w:rsidR="00B4628E"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1.Descriptive Statistics for Automated Internal Evaluation</w:t>
      </w:r>
    </w:p>
    <w:p w14:paraId="2AB43A75" w14:textId="39A58C44"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interpret the quantitative data gathered from the automated software testing tools evaluating the system’s Functional Suitability, Performance Efficiency, Reliability, and Maintainability, descriptive statistical analysis will be utilized.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Quantitative metrics will be extracted directly from automated tool execution logs, including unit test pass rates expressed as percentages obtained from automated functional testing, average response time measured in milliseconds and throughput in requests per second obtained through load testing, code quality scores expressed as percentages derived from static analysis linting tools, and vulnerability counts identified through security scanning. These metrics will be systematically tabulated. The arithmetic mean will be computed for these continuous variables across multiple automated test iterations to establish the operational performance and structural integrity of the system.</w:t>
      </w:r>
    </w:p>
    <w:p w14:paraId="5F33638F" w14:textId="77777777" w:rsidR="00114F3B"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formula for the arithmetic mean is as follows:</w:t>
      </w:r>
    </w:p>
    <w:p w14:paraId="517F429C" w14:textId="59EB253C" w:rsidR="00114F3B" w:rsidRDefault="00000000">
      <w:pPr>
        <w:ind w:left="720"/>
        <w:jc w:val="center"/>
        <w:rPr>
          <w:rFonts w:ascii="Times New Roman" w:eastAsia="Times New Roman" w:hAnsi="Times New Roman" w:cs="Times New Roman"/>
          <w:sz w:val="32"/>
          <w:szCs w:val="32"/>
        </w:rPr>
      </w:pPr>
      <w:r>
        <w:rPr>
          <w:rFonts w:ascii="Times New Roman" w:eastAsia="Times New Roman" w:hAnsi="Times New Roman" w:cs="Times New Roman"/>
          <w:i/>
          <w:iCs/>
          <w:sz w:val="32"/>
          <w:szCs w:val="32"/>
        </w:rPr>
        <w:t>x̄</w:t>
      </w:r>
      <m:oMath>
        <m:r>
          <w:rPr>
            <w:rFonts w:ascii="Times New Roman" w:eastAsia="Times New Roman" w:hAnsi="Times New Roman" w:cs="Times New Roman"/>
            <w:sz w:val="32"/>
            <w:szCs w:val="32"/>
          </w:rPr>
          <m:t xml:space="preserve"> = </m:t>
        </m:r>
        <m:f>
          <m:fPr>
            <m:ctrlPr>
              <w:rPr>
                <w:rFonts w:ascii="Times New Roman" w:eastAsia="Times New Roman" w:hAnsi="Times New Roman" w:cs="Times New Roman"/>
                <w:sz w:val="32"/>
                <w:szCs w:val="32"/>
              </w:rPr>
            </m:ctrlPr>
          </m:fPr>
          <m:num>
            <m:nary>
              <m:naryPr>
                <m:chr m:val="∑"/>
                <m:limLoc m:val="undOvr"/>
                <m:subHide m:val="1"/>
                <m:supHide m:val="1"/>
                <m:ctrlPr>
                  <w:rPr>
                    <w:rFonts w:ascii="Cambria Math" w:eastAsia="Times New Roman" w:hAnsi="Cambria Math" w:cs="Times New Roman"/>
                    <w:i/>
                    <w:sz w:val="32"/>
                    <w:szCs w:val="32"/>
                  </w:rPr>
                </m:ctrlPr>
              </m:naryPr>
              <m:sub/>
              <m:sup/>
              <m:e>
                <m:sSub>
                  <m:sSubPr>
                    <m:ctrlPr>
                      <w:rPr>
                        <w:rFonts w:ascii="Cambria Math" w:eastAsia="Times New Roman" w:hAnsi="Cambria Math" w:cs="Times New Roman"/>
                        <w:sz w:val="32"/>
                        <w:szCs w:val="32"/>
                      </w:rPr>
                    </m:ctrlPr>
                  </m:sSubPr>
                  <m:e>
                    <m:r>
                      <w:rPr>
                        <w:rFonts w:ascii="Cambria Math" w:eastAsia="Times New Roman" w:hAnsi="Cambria Math" w:cs="Times New Roman"/>
                        <w:sz w:val="32"/>
                        <w:szCs w:val="32"/>
                      </w:rPr>
                      <m:t>x</m:t>
                    </m:r>
                  </m:e>
                  <m:sub>
                    <m:r>
                      <w:rPr>
                        <w:rFonts w:ascii="Cambria Math" w:eastAsia="Times New Roman" w:hAnsi="Cambria Math" w:cs="Times New Roman"/>
                        <w:sz w:val="32"/>
                        <w:szCs w:val="32"/>
                      </w:rPr>
                      <m:t>i</m:t>
                    </m:r>
                  </m:sub>
                </m:sSub>
              </m:e>
            </m:nary>
          </m:num>
          <m:den>
            <m:r>
              <w:rPr>
                <w:rFonts w:ascii="Times New Roman" w:eastAsia="Times New Roman" w:hAnsi="Times New Roman" w:cs="Times New Roman"/>
                <w:sz w:val="32"/>
                <w:szCs w:val="32"/>
              </w:rPr>
              <m:t>n</m:t>
            </m:r>
          </m:den>
        </m:f>
      </m:oMath>
    </w:p>
    <w:p w14:paraId="1A2B367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Where:</w:t>
      </w:r>
    </w:p>
    <w:p w14:paraId="06D513E7" w14:textId="4E3F7A0F" w:rsidR="00114F3B" w:rsidRPr="000C3B61" w:rsidRDefault="000C3B61" w:rsidP="000C3B61">
      <w:pPr>
        <w:spacing w:line="480" w:lineRule="auto"/>
        <w:ind w:left="360" w:firstLine="360"/>
        <w:jc w:val="both"/>
        <w:rPr>
          <w:rFonts w:ascii="Times New Roman" w:eastAsia="Times New Roman" w:hAnsi="Times New Roman" w:cs="Times New Roman"/>
          <w:sz w:val="24"/>
          <w:szCs w:val="24"/>
        </w:rPr>
      </w:pPr>
      <w:r w:rsidRPr="000C3B61">
        <w:rPr>
          <w:rFonts w:ascii="Times New Roman" w:eastAsia="Times New Roman" w:hAnsi="Times New Roman" w:cs="Times New Roman"/>
          <w:i/>
          <w:iCs/>
          <w:sz w:val="24"/>
          <w:szCs w:val="24"/>
        </w:rPr>
        <w:t>x̄</w:t>
      </w:r>
      <m:oMath>
        <m:r>
          <w:rPr>
            <w:rFonts w:ascii="Cambria Math" w:eastAsia="Times New Roman" w:hAnsi="Cambria Math" w:cs="Times New Roman"/>
            <w:sz w:val="24"/>
            <w:szCs w:val="24"/>
          </w:rPr>
          <m:t xml:space="preserve"> </m:t>
        </m:r>
      </m:oMath>
      <w:r w:rsidRPr="000C3B61">
        <w:rPr>
          <w:rFonts w:ascii="Times New Roman" w:eastAsia="Times New Roman" w:hAnsi="Times New Roman" w:cs="Times New Roman"/>
          <w:sz w:val="24"/>
          <w:szCs w:val="24"/>
        </w:rPr>
        <w:t xml:space="preserve"> = Arithmetic Mean </w:t>
      </w:r>
    </w:p>
    <w:p w14:paraId="37693FE3" w14:textId="07E10DF3" w:rsidR="00114F3B" w:rsidRPr="000C3B61" w:rsidRDefault="00000000" w:rsidP="000C3B61">
      <w:pPr>
        <w:spacing w:line="480" w:lineRule="auto"/>
        <w:ind w:left="360" w:firstLine="360"/>
        <w:jc w:val="both"/>
        <w:rPr>
          <w:rFonts w:ascii="Times New Roman" w:eastAsia="Times New Roman" w:hAnsi="Times New Roman" w:cs="Times New Roman"/>
          <w:sz w:val="24"/>
          <w:szCs w:val="24"/>
        </w:rPr>
      </w:pPr>
      <m:oMath>
        <m:nary>
          <m:naryPr>
            <m:chr m:val="∑"/>
            <m:limLoc m:val="undOvr"/>
            <m:subHide m:val="1"/>
            <m:supHide m:val="1"/>
            <m:ctrlPr>
              <w:rPr>
                <w:rFonts w:ascii="Cambria Math" w:eastAsia="Times New Roman" w:hAnsi="Cambria Math" w:cs="Times New Roman"/>
                <w:i/>
                <w:sz w:val="24"/>
                <w:szCs w:val="24"/>
              </w:rPr>
            </m:ctrlPr>
          </m:naryP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 xml:space="preserve"> </m:t>
        </m:r>
      </m:oMath>
      <w:r w:rsidR="000C3B61" w:rsidRPr="000C3B61">
        <w:rPr>
          <w:rFonts w:ascii="Times New Roman" w:eastAsia="Times New Roman" w:hAnsi="Times New Roman" w:cs="Times New Roman"/>
          <w:sz w:val="24"/>
          <w:szCs w:val="24"/>
        </w:rPr>
        <w:t>= Sum of all recorded metric values across test iterations</w:t>
      </w:r>
    </w:p>
    <w:p w14:paraId="5BC4BF6E" w14:textId="77777777" w:rsidR="00114F3B" w:rsidRPr="000C3B61" w:rsidRDefault="00000000" w:rsidP="000C3B61">
      <w:pPr>
        <w:spacing w:line="480" w:lineRule="auto"/>
        <w:ind w:left="360" w:firstLine="360"/>
        <w:jc w:val="both"/>
        <w:rPr>
          <w:rFonts w:ascii="Times New Roman" w:eastAsia="Times New Roman" w:hAnsi="Times New Roman" w:cs="Times New Roman"/>
          <w:b/>
          <w:bCs/>
          <w:sz w:val="24"/>
          <w:szCs w:val="24"/>
        </w:rPr>
      </w:pPr>
      <m:oMath>
        <m:r>
          <w:rPr>
            <w:rFonts w:ascii="Cambria Math" w:eastAsia="Times New Roman" w:hAnsi="Cambria Math" w:cs="Times New Roman"/>
            <w:sz w:val="24"/>
            <w:szCs w:val="24"/>
          </w:rPr>
          <m:t>n</m:t>
        </m:r>
      </m:oMath>
      <w:r w:rsidRPr="000C3B61">
        <w:rPr>
          <w:rFonts w:ascii="Times New Roman" w:eastAsia="Times New Roman" w:hAnsi="Times New Roman" w:cs="Times New Roman"/>
          <w:sz w:val="24"/>
          <w:szCs w:val="24"/>
        </w:rPr>
        <w:t xml:space="preserve"> = Total number of automated test iterations</w:t>
      </w:r>
    </w:p>
    <w:p w14:paraId="25F0C23E" w14:textId="77777777" w:rsidR="00114F3B" w:rsidRDefault="00000000" w:rsidP="00B4628E">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Inferential Statistics for AI Model Comparison</w:t>
      </w:r>
      <w:r>
        <w:rPr>
          <w:rFonts w:ascii="Times New Roman" w:eastAsia="Times New Roman" w:hAnsi="Times New Roman" w:cs="Times New Roman"/>
          <w:sz w:val="24"/>
          <w:szCs w:val="24"/>
        </w:rPr>
        <w:t xml:space="preserve"> </w:t>
      </w:r>
    </w:p>
    <w:p w14:paraId="205891DA" w14:textId="77777777"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compare the factual accuracy and hallucination mitigation between the baseline model (Standard LLM) and the proposed model (RAG + LLM), inferential statistical analysis will be applied to the evaluation scores generated by the Ragas framework, particularly in terms of Faithfulness and Context Precision. </w:t>
      </w:r>
    </w:p>
    <w:p w14:paraId="00E01D0F" w14:textId="77777777"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Prior to conducting the paired-samples t-test on the Ragas scores, the Shapiro-Wilk test will be utilized to assess the assumption of normality. If the data is normally distributed, the parametric paired-samples t-test will proceed to determine whether there is a statistically significant difference between the performance of the two models when processing identical institutional queries. If the normality assumption is violated, the non-parametric Wilcoxon Signed-Rank Test will be applied as the robust alternative. A significance level of 0.05 will be used as the strict basis for decision-making.</w:t>
      </w:r>
    </w:p>
    <w:p w14:paraId="30C77927" w14:textId="77777777" w:rsidR="00114F3B" w:rsidRDefault="00000000">
      <w:pPr>
        <w:spacing w:before="24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3.2.6 Ethical Considerations</w:t>
      </w:r>
    </w:p>
    <w:p w14:paraId="6F7FA98E"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To uphold ethical standards in research involving institutional data, the researchers will adhere to the following ethical safeguards.</w:t>
      </w:r>
    </w:p>
    <w:p w14:paraId="0F989082" w14:textId="0C5B34C9"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the researchers will obtain formal written approval from the CCSICT Department Chair and the University Librarian prior to accessing and digitizing any thesis manuscript from the college archives. This institutional clearance will serve as authorization for the use of student-authored academic outputs within a closed, non-commercial research system.</w:t>
      </w:r>
    </w:p>
    <w:p w14:paraId="6AEC73E9"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Second, the study will comply with Republic Act No. 10173, or the Data Privacy Act of 2012, by ensuring that no personally identifiable information (PII) beyond the thesis title, author name, academic track, and year of completion which are already publicly available on the thesis manuscript cover is extracted, stored, or exposed by the system. Additionally, the indirect access model protects intellectual property by preventing users from viewing, downloading, or reproducing any full-text thesis content.</w:t>
      </w:r>
    </w:p>
    <w:p w14:paraId="0C27A3B0"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the system is explicitly designed to function as a retrieval assistant, not as a content generator. Its architecture is programmatically constrained to prevent outputs that could </w:t>
      </w:r>
      <w:r>
        <w:rPr>
          <w:rFonts w:ascii="Times New Roman" w:eastAsia="Times New Roman" w:hAnsi="Times New Roman" w:cs="Times New Roman"/>
          <w:sz w:val="24"/>
          <w:szCs w:val="24"/>
        </w:rPr>
        <w:lastRenderedPageBreak/>
        <w:t>facilitate plagiarism. All AI-generated responses will include traceable citations directing users back to the original thesis source, reinforcing proper academic attribution.</w:t>
      </w:r>
    </w:p>
    <w:p w14:paraId="67BF5C18" w14:textId="2F6C70F9"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System Architecture</w:t>
      </w:r>
    </w:p>
    <w:p w14:paraId="333CF7A9"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technical framework of the Centralized AI-Powered Thesis Library System will be designed to securely process institutional data and execute semantic retrievals. As illustrated in Figure 8, the system architecture will be structured into four primary interactive layers: the User Interface Layer, the Application Layer, the Embedding Layer, and the Data Storage Layer.</w:t>
      </w:r>
    </w:p>
    <w:p w14:paraId="44F5DA4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workflow will begin at the User Interface Layer, which will accommodate distinct user roles. Administrators will utilize the upload interface to input new thesis PDFs into the system. Concurrently, students, faculty, and researchers will interact with the Web Application UI to input natural language research queries and view the AI-generated responses.</w:t>
      </w:r>
    </w:p>
    <w:p w14:paraId="26C46F8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an administrator uploads a document, the file is first received by the Document Processing System within the Application Layer to handle the multipart upload stream. The data is then routed to the Embedding Layer. Here, a PDF Loader utilizing </w:t>
      </w:r>
      <w:proofErr w:type="spellStart"/>
      <w:r>
        <w:rPr>
          <w:rFonts w:ascii="Times New Roman" w:eastAsia="Times New Roman" w:hAnsi="Times New Roman" w:cs="Times New Roman"/>
          <w:sz w:val="24"/>
          <w:szCs w:val="24"/>
        </w:rPr>
        <w:t>PyMuPDF</w:t>
      </w:r>
      <w:proofErr w:type="spellEnd"/>
      <w:r>
        <w:rPr>
          <w:rFonts w:ascii="Times New Roman" w:eastAsia="Times New Roman" w:hAnsi="Times New Roman" w:cs="Times New Roman"/>
          <w:sz w:val="24"/>
          <w:szCs w:val="24"/>
        </w:rPr>
        <w:t xml:space="preserve"> will extract the raw text, which will subsequently be divided into manageable segments by a Text </w:t>
      </w:r>
      <w:proofErr w:type="spellStart"/>
      <w:r>
        <w:rPr>
          <w:rFonts w:ascii="Times New Roman" w:eastAsia="Times New Roman" w:hAnsi="Times New Roman" w:cs="Times New Roman"/>
          <w:sz w:val="24"/>
          <w:szCs w:val="24"/>
        </w:rPr>
        <w:t>Chunker</w:t>
      </w:r>
      <w:proofErr w:type="spellEnd"/>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RecursiveCharacterTextSplitter</w:t>
      </w:r>
      <w:proofErr w:type="spellEnd"/>
      <w:r>
        <w:rPr>
          <w:rFonts w:ascii="Times New Roman" w:eastAsia="Times New Roman" w:hAnsi="Times New Roman" w:cs="Times New Roman"/>
          <w:sz w:val="24"/>
          <w:szCs w:val="24"/>
        </w:rPr>
        <w:t xml:space="preserve">. These chunks will be processed by an Embedding Model, powered by Gemini's text-embedding-004, to generate high-dimensional vector representations. These vectors, along with the original PDF files, will be archived securely within the Data Storage Layer, utilizing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as the designated Vector Database and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Storage as the localized file repository.</w:t>
      </w:r>
    </w:p>
    <w:p w14:paraId="58F74052" w14:textId="636DD076" w:rsidR="00114F3B" w:rsidRPr="001F39CD" w:rsidRDefault="00000000">
      <w:pPr>
        <w:spacing w:before="240" w:line="480" w:lineRule="auto"/>
        <w:ind w:firstLine="720"/>
        <w:jc w:val="both"/>
        <w:rPr>
          <w:rFonts w:ascii="Times New Roman" w:eastAsia="Times New Roman" w:hAnsi="Times New Roman" w:cs="Times New Roman"/>
          <w:color w:val="00B050"/>
          <w:sz w:val="24"/>
          <w:szCs w:val="24"/>
        </w:rPr>
      </w:pPr>
      <w:r>
        <w:rPr>
          <w:rFonts w:ascii="Times New Roman" w:eastAsia="Times New Roman" w:hAnsi="Times New Roman" w:cs="Times New Roman"/>
          <w:sz w:val="24"/>
          <w:szCs w:val="24"/>
        </w:rPr>
        <w:t xml:space="preserve">During the retrieval phase, when a user submits a question through the UI, the query will be received by the Application Layer. The Query Processor, built on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will apply Natural Language Processing (NLP) to interpret the user's intent. This processed query will be </w:t>
      </w:r>
      <w:r>
        <w:rPr>
          <w:rFonts w:ascii="Times New Roman" w:eastAsia="Times New Roman" w:hAnsi="Times New Roman" w:cs="Times New Roman"/>
          <w:sz w:val="24"/>
          <w:szCs w:val="24"/>
        </w:rPr>
        <w:lastRenderedPageBreak/>
        <w:t xml:space="preserve">sent to the RAG Pipeline, utilizing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RetrievalQA</w:t>
      </w:r>
      <w:proofErr w:type="spellEnd"/>
      <w:r>
        <w:rPr>
          <w:rFonts w:ascii="Times New Roman" w:eastAsia="Times New Roman" w:hAnsi="Times New Roman" w:cs="Times New Roman"/>
          <w:sz w:val="24"/>
          <w:szCs w:val="24"/>
        </w:rPr>
        <w:t>, which will search the Vector Database for the most semantically relevant thesis chunks. Finally, these retrieved vectors will be fed into the Response Generator via the Gemini 1.5 Flash model, which will synthesize the extracted local data into a coherent, citation-backed answer that will be displayed back to the user.</w:t>
      </w:r>
      <w:r w:rsidR="001F39CD">
        <w:rPr>
          <w:rFonts w:ascii="Times New Roman" w:eastAsia="Times New Roman" w:hAnsi="Times New Roman" w:cs="Times New Roman"/>
          <w:sz w:val="24"/>
          <w:szCs w:val="24"/>
        </w:rPr>
        <w:t xml:space="preserve"> </w:t>
      </w:r>
      <w:r w:rsidR="001F39CD" w:rsidRPr="006109DC">
        <w:rPr>
          <w:rFonts w:ascii="Times New Roman" w:eastAsia="Times New Roman" w:hAnsi="Times New Roman" w:cs="Times New Roman"/>
          <w:color w:val="000000" w:themeColor="text1"/>
          <w:sz w:val="24"/>
          <w:szCs w:val="24"/>
        </w:rPr>
        <w:t>Concurrently, within this Application Layer, the RAG Pipeline calculates the mathematical distance of the retrieved vectors to enforce the 85% duplication threshold, dynamically flagging the query if the contextual similarity exceeds the allowed redundancy limit.</w:t>
      </w:r>
    </w:p>
    <w:p w14:paraId="206B5F0F"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8</w:t>
      </w:r>
    </w:p>
    <w:p w14:paraId="522A910C"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System Architecture of the Centralized AI-Powered Thesis Library</w:t>
      </w:r>
      <w:r>
        <w:rPr>
          <w:noProof/>
        </w:rPr>
        <w:drawing>
          <wp:anchor distT="114300" distB="114300" distL="114300" distR="114300" simplePos="0" relativeHeight="251665408" behindDoc="0" locked="0" layoutInCell="1" hidden="0" allowOverlap="1" wp14:anchorId="63CA59B7" wp14:editId="64E0B385">
            <wp:simplePos x="0" y="0"/>
            <wp:positionH relativeFrom="column">
              <wp:posOffset>-695324</wp:posOffset>
            </wp:positionH>
            <wp:positionV relativeFrom="paragraph">
              <wp:posOffset>609600</wp:posOffset>
            </wp:positionV>
            <wp:extent cx="7015163" cy="3791460"/>
            <wp:effectExtent l="0" t="0" r="0" b="0"/>
            <wp:wrapSquare wrapText="bothSides" distT="114300" distB="11430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7015163" cy="3791460"/>
                    </a:xfrm>
                    <a:prstGeom prst="rect">
                      <a:avLst/>
                    </a:prstGeom>
                    <a:ln/>
                  </pic:spPr>
                </pic:pic>
              </a:graphicData>
            </a:graphic>
          </wp:anchor>
        </w:drawing>
      </w:r>
    </w:p>
    <w:p w14:paraId="460B67F4" w14:textId="77777777" w:rsidR="00114F3B" w:rsidRDefault="00114F3B">
      <w:pPr>
        <w:spacing w:before="240" w:line="480" w:lineRule="auto"/>
        <w:jc w:val="both"/>
        <w:rPr>
          <w:rFonts w:ascii="Times New Roman" w:eastAsia="Times New Roman" w:hAnsi="Times New Roman" w:cs="Times New Roman"/>
          <w:b/>
          <w:bCs/>
          <w:sz w:val="24"/>
          <w:szCs w:val="24"/>
        </w:rPr>
      </w:pPr>
    </w:p>
    <w:p w14:paraId="3E9FD960" w14:textId="77777777" w:rsidR="00114F3B" w:rsidRDefault="00114F3B">
      <w:pPr>
        <w:spacing w:before="240" w:line="480" w:lineRule="auto"/>
        <w:jc w:val="both"/>
        <w:rPr>
          <w:rFonts w:ascii="Times New Roman" w:eastAsia="Times New Roman" w:hAnsi="Times New Roman" w:cs="Times New Roman"/>
          <w:b/>
          <w:bCs/>
          <w:sz w:val="24"/>
          <w:szCs w:val="24"/>
        </w:rPr>
      </w:pPr>
    </w:p>
    <w:p w14:paraId="15631AA2" w14:textId="52481362"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16017BC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Arivazhagan, M. G., Liu, L., Qi, P., Chen, X., Wang, W. Y., &amp; Huang, Z. (2023). Hybrid hierarchical retrieval for open-domain question answering. </w:t>
      </w:r>
      <w:r>
        <w:rPr>
          <w:rFonts w:ascii="Times New Roman" w:eastAsia="Times New Roman" w:hAnsi="Times New Roman" w:cs="Times New Roman"/>
          <w:i/>
          <w:iCs/>
          <w:sz w:val="24"/>
          <w:szCs w:val="24"/>
        </w:rPr>
        <w:t>Findings of the Association for Computational Linguistics: ACL 2023</w:t>
      </w:r>
      <w:r>
        <w:rPr>
          <w:rFonts w:ascii="Times New Roman" w:eastAsia="Times New Roman" w:hAnsi="Times New Roman" w:cs="Times New Roman"/>
          <w:sz w:val="24"/>
          <w:szCs w:val="24"/>
        </w:rPr>
        <w:t>, 10680–10689. </w:t>
      </w:r>
      <w:hyperlink r:id="rId17">
        <w:r w:rsidR="00114F3B">
          <w:rPr>
            <w:rFonts w:ascii="Times New Roman" w:eastAsia="Times New Roman" w:hAnsi="Times New Roman" w:cs="Times New Roman"/>
            <w:color w:val="0000FF"/>
            <w:sz w:val="24"/>
            <w:szCs w:val="24"/>
            <w:u w:val="single"/>
          </w:rPr>
          <w:t>https://doi.org/10.18653/v1/2023.findings-acl.679</w:t>
        </w:r>
      </w:hyperlink>
    </w:p>
    <w:p w14:paraId="51F5C98C"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Armilla, R., &amp; Abangan, M. L. (2025). The difficulties and strategies in digitizing library resources. </w:t>
      </w:r>
      <w:r>
        <w:rPr>
          <w:rFonts w:ascii="Times New Roman" w:eastAsia="Times New Roman" w:hAnsi="Times New Roman" w:cs="Times New Roman"/>
          <w:i/>
          <w:iCs/>
          <w:sz w:val="24"/>
          <w:szCs w:val="24"/>
        </w:rPr>
        <w:t>Psychology and Education: A Multidisciplinary Journal, 31</w:t>
      </w:r>
      <w:r>
        <w:rPr>
          <w:rFonts w:ascii="Times New Roman" w:eastAsia="Times New Roman" w:hAnsi="Times New Roman" w:cs="Times New Roman"/>
          <w:sz w:val="24"/>
          <w:szCs w:val="24"/>
        </w:rPr>
        <w:t>(9), 933–962. </w:t>
      </w:r>
      <w:hyperlink r:id="rId18">
        <w:r w:rsidR="00114F3B">
          <w:rPr>
            <w:rFonts w:ascii="Times New Roman" w:eastAsia="Times New Roman" w:hAnsi="Times New Roman" w:cs="Times New Roman"/>
            <w:color w:val="0000FF"/>
            <w:sz w:val="24"/>
            <w:szCs w:val="24"/>
            <w:u w:val="single"/>
          </w:rPr>
          <w:t>https://doi.org/10.5281/zenodo.14828861</w:t>
        </w:r>
      </w:hyperlink>
    </w:p>
    <w:p w14:paraId="5D41D44D"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Aytar, A. Y., Kaya, K., &amp; Kılıç, K. (2025). A retrieval-augmented generation framework for academic literature navigation in data science. </w:t>
      </w:r>
      <w:r>
        <w:rPr>
          <w:rFonts w:ascii="Times New Roman" w:eastAsia="Times New Roman" w:hAnsi="Times New Roman" w:cs="Times New Roman"/>
          <w:i/>
          <w:iCs/>
          <w:sz w:val="24"/>
          <w:szCs w:val="24"/>
        </w:rPr>
        <w:t>Natural Language Processing Journal, 10</w:t>
      </w:r>
      <w:r>
        <w:rPr>
          <w:rFonts w:ascii="Times New Roman" w:eastAsia="Times New Roman" w:hAnsi="Times New Roman" w:cs="Times New Roman"/>
          <w:sz w:val="24"/>
          <w:szCs w:val="24"/>
        </w:rPr>
        <w:t>, 100179. </w:t>
      </w:r>
      <w:hyperlink r:id="rId19">
        <w:r w:rsidR="00114F3B">
          <w:rPr>
            <w:rFonts w:ascii="Times New Roman" w:eastAsia="Times New Roman" w:hAnsi="Times New Roman" w:cs="Times New Roman"/>
            <w:color w:val="0000FF"/>
            <w:sz w:val="24"/>
            <w:szCs w:val="24"/>
            <w:u w:val="single"/>
          </w:rPr>
          <w:t>https://doi.org/10.1016/j.nlp.2025.100179</w:t>
        </w:r>
      </w:hyperlink>
    </w:p>
    <w:p w14:paraId="417A8303"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Barnett, S., Kurniawan, S., </w:t>
      </w:r>
      <w:proofErr w:type="spellStart"/>
      <w:r>
        <w:rPr>
          <w:rFonts w:ascii="Times New Roman" w:eastAsia="Times New Roman" w:hAnsi="Times New Roman" w:cs="Times New Roman"/>
          <w:sz w:val="24"/>
          <w:szCs w:val="24"/>
        </w:rPr>
        <w:t>Thudumu</w:t>
      </w:r>
      <w:proofErr w:type="spellEnd"/>
      <w:r>
        <w:rPr>
          <w:rFonts w:ascii="Times New Roman" w:eastAsia="Times New Roman" w:hAnsi="Times New Roman" w:cs="Times New Roman"/>
          <w:sz w:val="24"/>
          <w:szCs w:val="24"/>
        </w:rPr>
        <w:t>, S., Brannelly, Z., &amp; Abdelrazek, M. (2024). Seven failure points when engineering a retrieval augmented generation system. </w:t>
      </w:r>
      <w:r>
        <w:rPr>
          <w:rFonts w:ascii="Times New Roman" w:eastAsia="Times New Roman" w:hAnsi="Times New Roman" w:cs="Times New Roman"/>
          <w:i/>
          <w:iCs/>
          <w:sz w:val="24"/>
          <w:szCs w:val="24"/>
        </w:rPr>
        <w:t>Proceedings of the IEEE/ACM 3rd International Conference on AI Engineering – Software Engineering for AI (CAIN 2024)</w:t>
      </w:r>
      <w:r>
        <w:rPr>
          <w:rFonts w:ascii="Times New Roman" w:eastAsia="Times New Roman" w:hAnsi="Times New Roman" w:cs="Times New Roman"/>
          <w:sz w:val="24"/>
          <w:szCs w:val="24"/>
        </w:rPr>
        <w:t>. </w:t>
      </w:r>
      <w:hyperlink r:id="rId20">
        <w:r w:rsidR="00114F3B">
          <w:rPr>
            <w:rFonts w:ascii="Times New Roman" w:eastAsia="Times New Roman" w:hAnsi="Times New Roman" w:cs="Times New Roman"/>
            <w:color w:val="0000FF"/>
            <w:sz w:val="24"/>
            <w:szCs w:val="24"/>
            <w:u w:val="single"/>
          </w:rPr>
          <w:t>https://doi.org/10.1145/3644815.3644945</w:t>
        </w:r>
      </w:hyperlink>
    </w:p>
    <w:p w14:paraId="1400D94B"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Besrour</w:t>
      </w:r>
      <w:proofErr w:type="spellEnd"/>
      <w:r>
        <w:rPr>
          <w:rFonts w:ascii="Times New Roman" w:eastAsia="Times New Roman" w:hAnsi="Times New Roman" w:cs="Times New Roman"/>
          <w:sz w:val="24"/>
          <w:szCs w:val="24"/>
        </w:rPr>
        <w:t xml:space="preserve">, I., He, J., </w:t>
      </w:r>
      <w:proofErr w:type="spellStart"/>
      <w:r>
        <w:rPr>
          <w:rFonts w:ascii="Times New Roman" w:eastAsia="Times New Roman" w:hAnsi="Times New Roman" w:cs="Times New Roman"/>
          <w:sz w:val="24"/>
          <w:szCs w:val="24"/>
        </w:rPr>
        <w:t>Schreieder</w:t>
      </w:r>
      <w:proofErr w:type="spellEnd"/>
      <w:r>
        <w:rPr>
          <w:rFonts w:ascii="Times New Roman" w:eastAsia="Times New Roman" w:hAnsi="Times New Roman" w:cs="Times New Roman"/>
          <w:sz w:val="24"/>
          <w:szCs w:val="24"/>
        </w:rPr>
        <w:t xml:space="preserve">, T., &amp; Färber, M. (2025). </w:t>
      </w:r>
      <w:proofErr w:type="spellStart"/>
      <w:r>
        <w:rPr>
          <w:rFonts w:ascii="Times New Roman" w:eastAsia="Times New Roman" w:hAnsi="Times New Roman" w:cs="Times New Roman"/>
          <w:sz w:val="24"/>
          <w:szCs w:val="24"/>
        </w:rPr>
        <w:t>SQuAI</w:t>
      </w:r>
      <w:proofErr w:type="spellEnd"/>
      <w:r>
        <w:rPr>
          <w:rFonts w:ascii="Times New Roman" w:eastAsia="Times New Roman" w:hAnsi="Times New Roman" w:cs="Times New Roman"/>
          <w:sz w:val="24"/>
          <w:szCs w:val="24"/>
        </w:rPr>
        <w:t>: Scientific question-answering with multi-agent retrieval-augmented generation. </w:t>
      </w:r>
      <w:r>
        <w:rPr>
          <w:rFonts w:ascii="Times New Roman" w:eastAsia="Times New Roman" w:hAnsi="Times New Roman" w:cs="Times New Roman"/>
          <w:i/>
          <w:iCs/>
          <w:sz w:val="24"/>
          <w:szCs w:val="24"/>
        </w:rPr>
        <w:t>Proceedings of the 34th ACM International Conference on Information and Knowledge Management (CIKM 2025)</w:t>
      </w:r>
      <w:r>
        <w:rPr>
          <w:rFonts w:ascii="Times New Roman" w:eastAsia="Times New Roman" w:hAnsi="Times New Roman" w:cs="Times New Roman"/>
          <w:sz w:val="24"/>
          <w:szCs w:val="24"/>
        </w:rPr>
        <w:t>. </w:t>
      </w:r>
      <w:hyperlink r:id="rId21">
        <w:r w:rsidR="00114F3B">
          <w:rPr>
            <w:rFonts w:ascii="Times New Roman" w:eastAsia="Times New Roman" w:hAnsi="Times New Roman" w:cs="Times New Roman"/>
            <w:color w:val="0000FF"/>
            <w:sz w:val="24"/>
            <w:szCs w:val="24"/>
            <w:u w:val="single"/>
          </w:rPr>
          <w:t>https://doi.org/10.1145/3746252.3761471</w:t>
        </w:r>
      </w:hyperlink>
    </w:p>
    <w:p w14:paraId="7F9CC57E"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Bevara</w:t>
      </w:r>
      <w:proofErr w:type="spellEnd"/>
      <w:r>
        <w:rPr>
          <w:rFonts w:ascii="Times New Roman" w:eastAsia="Times New Roman" w:hAnsi="Times New Roman" w:cs="Times New Roman"/>
          <w:sz w:val="24"/>
          <w:szCs w:val="24"/>
        </w:rPr>
        <w:t>, R. V. K., et al. (2025). Prospects of retrieval augmented generation (RAG) for academic library search and retrieval. </w:t>
      </w:r>
      <w:r>
        <w:rPr>
          <w:rFonts w:ascii="Times New Roman" w:eastAsia="Times New Roman" w:hAnsi="Times New Roman" w:cs="Times New Roman"/>
          <w:i/>
          <w:iCs/>
          <w:sz w:val="24"/>
          <w:szCs w:val="24"/>
        </w:rPr>
        <w:t>Information Technology and Libraries, 44</w:t>
      </w:r>
      <w:r>
        <w:rPr>
          <w:rFonts w:ascii="Times New Roman" w:eastAsia="Times New Roman" w:hAnsi="Times New Roman" w:cs="Times New Roman"/>
          <w:sz w:val="24"/>
          <w:szCs w:val="24"/>
        </w:rPr>
        <w:t>(2). </w:t>
      </w:r>
      <w:hyperlink r:id="rId22">
        <w:r w:rsidR="00114F3B">
          <w:rPr>
            <w:rFonts w:ascii="Times New Roman" w:eastAsia="Times New Roman" w:hAnsi="Times New Roman" w:cs="Times New Roman"/>
            <w:color w:val="0000FF"/>
            <w:sz w:val="24"/>
            <w:szCs w:val="24"/>
            <w:u w:val="single"/>
          </w:rPr>
          <w:t>https://doi.org/10.5860/ital.v44i2.17361</w:t>
        </w:r>
      </w:hyperlink>
    </w:p>
    <w:p w14:paraId="3C517C4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Bodea, A.-E., </w:t>
      </w:r>
      <w:proofErr w:type="spellStart"/>
      <w:r>
        <w:rPr>
          <w:rFonts w:ascii="Times New Roman" w:eastAsia="Times New Roman" w:hAnsi="Times New Roman" w:cs="Times New Roman"/>
          <w:sz w:val="24"/>
          <w:szCs w:val="24"/>
        </w:rPr>
        <w:t>Meisenbacher</w:t>
      </w:r>
      <w:proofErr w:type="spellEnd"/>
      <w:r>
        <w:rPr>
          <w:rFonts w:ascii="Times New Roman" w:eastAsia="Times New Roman" w:hAnsi="Times New Roman" w:cs="Times New Roman"/>
          <w:sz w:val="24"/>
          <w:szCs w:val="24"/>
        </w:rPr>
        <w:t xml:space="preserve">, S., Klymenko, A., &amp; Matthes, F. (2026). </w:t>
      </w:r>
      <w:proofErr w:type="spellStart"/>
      <w:r>
        <w:rPr>
          <w:rFonts w:ascii="Times New Roman" w:eastAsia="Times New Roman" w:hAnsi="Times New Roman" w:cs="Times New Roman"/>
          <w:sz w:val="24"/>
          <w:szCs w:val="24"/>
        </w:rPr>
        <w:t>SoK</w:t>
      </w:r>
      <w:proofErr w:type="spellEnd"/>
      <w:r>
        <w:rPr>
          <w:rFonts w:ascii="Times New Roman" w:eastAsia="Times New Roman" w:hAnsi="Times New Roman" w:cs="Times New Roman"/>
          <w:sz w:val="24"/>
          <w:szCs w:val="24"/>
        </w:rPr>
        <w:t>: Privacy risks and mitigations in retrieval-augmented generation systems. </w:t>
      </w:r>
      <w:r>
        <w:rPr>
          <w:rFonts w:ascii="Times New Roman" w:eastAsia="Times New Roman" w:hAnsi="Times New Roman" w:cs="Times New Roman"/>
          <w:i/>
          <w:iCs/>
          <w:sz w:val="24"/>
          <w:szCs w:val="24"/>
        </w:rPr>
        <w:t>IEEE Conference on Secure and Trustworthy Machine Learning (</w:t>
      </w:r>
      <w:proofErr w:type="spellStart"/>
      <w:r>
        <w:rPr>
          <w:rFonts w:ascii="Times New Roman" w:eastAsia="Times New Roman" w:hAnsi="Times New Roman" w:cs="Times New Roman"/>
          <w:i/>
          <w:iCs/>
          <w:sz w:val="24"/>
          <w:szCs w:val="24"/>
        </w:rPr>
        <w:t>SaTML</w:t>
      </w:r>
      <w:proofErr w:type="spellEnd"/>
      <w:r>
        <w:rPr>
          <w:rFonts w:ascii="Times New Roman" w:eastAsia="Times New Roman" w:hAnsi="Times New Roman" w:cs="Times New Roman"/>
          <w:i/>
          <w:iCs/>
          <w:sz w:val="24"/>
          <w:szCs w:val="24"/>
        </w:rPr>
        <w:t xml:space="preserve"> 2026)</w:t>
      </w:r>
      <w:r>
        <w:rPr>
          <w:rFonts w:ascii="Times New Roman" w:eastAsia="Times New Roman" w:hAnsi="Times New Roman" w:cs="Times New Roman"/>
          <w:sz w:val="24"/>
          <w:szCs w:val="24"/>
        </w:rPr>
        <w:t>. </w:t>
      </w:r>
      <w:hyperlink r:id="rId23">
        <w:r w:rsidR="00114F3B">
          <w:rPr>
            <w:rFonts w:ascii="Times New Roman" w:eastAsia="Times New Roman" w:hAnsi="Times New Roman" w:cs="Times New Roman"/>
            <w:color w:val="0000FF"/>
            <w:sz w:val="24"/>
            <w:szCs w:val="24"/>
            <w:u w:val="single"/>
          </w:rPr>
          <w:t>https://arxiv.org/abs/2601.03979</w:t>
        </w:r>
      </w:hyperlink>
    </w:p>
    <w:p w14:paraId="1D19228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Brown, A., Roman, M., &amp; Devereux, B. (2025). A systematic literature review of retrieval-augmented generation: Techniques, metrics, and challenges. </w:t>
      </w:r>
      <w:r>
        <w:rPr>
          <w:rFonts w:ascii="Times New Roman" w:eastAsia="Times New Roman" w:hAnsi="Times New Roman" w:cs="Times New Roman"/>
          <w:i/>
          <w:iCs/>
          <w:sz w:val="24"/>
          <w:szCs w:val="24"/>
        </w:rPr>
        <w:t>Big Data and Cognitive Computing, 9</w:t>
      </w:r>
      <w:r>
        <w:rPr>
          <w:rFonts w:ascii="Times New Roman" w:eastAsia="Times New Roman" w:hAnsi="Times New Roman" w:cs="Times New Roman"/>
          <w:sz w:val="24"/>
          <w:szCs w:val="24"/>
        </w:rPr>
        <w:t>(12), 320. </w:t>
      </w:r>
      <w:hyperlink r:id="rId24">
        <w:r w:rsidR="00114F3B">
          <w:rPr>
            <w:rFonts w:ascii="Times New Roman" w:eastAsia="Times New Roman" w:hAnsi="Times New Roman" w:cs="Times New Roman"/>
            <w:color w:val="0000FF"/>
            <w:sz w:val="24"/>
            <w:szCs w:val="24"/>
            <w:u w:val="single"/>
          </w:rPr>
          <w:t>https://doi.org/10.3390/bdcc9120320</w:t>
        </w:r>
      </w:hyperlink>
    </w:p>
    <w:p w14:paraId="684E8F7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Custer, S., &amp; Sethi, T. (2017). </w:t>
      </w:r>
      <w:r>
        <w:rPr>
          <w:rFonts w:ascii="Times New Roman" w:eastAsia="Times New Roman" w:hAnsi="Times New Roman" w:cs="Times New Roman"/>
          <w:i/>
          <w:iCs/>
          <w:sz w:val="24"/>
          <w:szCs w:val="24"/>
        </w:rPr>
        <w:t>Avoiding data graveyards: Insights from data producers &amp; users in three countries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AidData</w:t>
      </w:r>
      <w:proofErr w:type="spellEnd"/>
      <w:r>
        <w:rPr>
          <w:rFonts w:ascii="Times New Roman" w:eastAsia="Times New Roman" w:hAnsi="Times New Roman" w:cs="Times New Roman"/>
          <w:sz w:val="24"/>
          <w:szCs w:val="24"/>
        </w:rPr>
        <w:t>, College of William &amp; Mary. </w:t>
      </w:r>
      <w:hyperlink r:id="rId25">
        <w:r w:rsidR="00114F3B">
          <w:rPr>
            <w:rFonts w:ascii="Times New Roman" w:eastAsia="Times New Roman" w:hAnsi="Times New Roman" w:cs="Times New Roman"/>
            <w:color w:val="0000FF"/>
            <w:sz w:val="24"/>
            <w:szCs w:val="24"/>
            <w:u w:val="single"/>
          </w:rPr>
          <w:t>https://www.aiddata.org/publications/avoiding-data-graveyards-insights-from-data-producers-users-in-three-countries</w:t>
        </w:r>
      </w:hyperlink>
    </w:p>
    <w:p w14:paraId="28E30D85"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C. J. O., et al. (2023). Exploring students' utilization of Online Public Access Catalog in the learning commons. </w:t>
      </w:r>
      <w:r>
        <w:rPr>
          <w:rFonts w:ascii="Times New Roman" w:eastAsia="Times New Roman" w:hAnsi="Times New Roman" w:cs="Times New Roman"/>
          <w:i/>
          <w:iCs/>
          <w:sz w:val="24"/>
          <w:szCs w:val="24"/>
        </w:rPr>
        <w:t>International Journal of Science and Advanced Information Technology, 12</w:t>
      </w:r>
      <w:r>
        <w:rPr>
          <w:rFonts w:ascii="Times New Roman" w:eastAsia="Times New Roman" w:hAnsi="Times New Roman" w:cs="Times New Roman"/>
          <w:sz w:val="24"/>
          <w:szCs w:val="24"/>
        </w:rPr>
        <w:t>(4). </w:t>
      </w:r>
      <w:hyperlink r:id="rId26">
        <w:r w:rsidR="00114F3B">
          <w:rPr>
            <w:rFonts w:ascii="Times New Roman" w:eastAsia="Times New Roman" w:hAnsi="Times New Roman" w:cs="Times New Roman"/>
            <w:color w:val="0000FF"/>
            <w:sz w:val="24"/>
            <w:szCs w:val="24"/>
            <w:u w:val="single"/>
          </w:rPr>
          <w:t>https://doi.org/10.30534/ijsait/2023/011242023</w:t>
        </w:r>
      </w:hyperlink>
    </w:p>
    <w:p w14:paraId="298A64C2"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S., James, J., Espinosa-Anke, L., &amp; </w:t>
      </w:r>
      <w:proofErr w:type="spellStart"/>
      <w:r>
        <w:rPr>
          <w:rFonts w:ascii="Times New Roman" w:eastAsia="Times New Roman" w:hAnsi="Times New Roman" w:cs="Times New Roman"/>
          <w:sz w:val="24"/>
          <w:szCs w:val="24"/>
        </w:rPr>
        <w:t>Schockaert</w:t>
      </w:r>
      <w:proofErr w:type="spellEnd"/>
      <w:r>
        <w:rPr>
          <w:rFonts w:ascii="Times New Roman" w:eastAsia="Times New Roman" w:hAnsi="Times New Roman" w:cs="Times New Roman"/>
          <w:sz w:val="24"/>
          <w:szCs w:val="24"/>
        </w:rPr>
        <w:t>, S. (2024). RAGAS: Automated evaluation of retrieval augmented generation. </w:t>
      </w:r>
      <w:r>
        <w:rPr>
          <w:rFonts w:ascii="Times New Roman" w:eastAsia="Times New Roman" w:hAnsi="Times New Roman" w:cs="Times New Roman"/>
          <w:i/>
          <w:iCs/>
          <w:sz w:val="24"/>
          <w:szCs w:val="24"/>
        </w:rPr>
        <w:t>Proceedings of the 18th Conference of the European Chapter of the Association for Computational Linguistics: System Demonstrations</w:t>
      </w:r>
      <w:r>
        <w:rPr>
          <w:rFonts w:ascii="Times New Roman" w:eastAsia="Times New Roman" w:hAnsi="Times New Roman" w:cs="Times New Roman"/>
          <w:sz w:val="24"/>
          <w:szCs w:val="24"/>
        </w:rPr>
        <w:t>, 150–165. </w:t>
      </w:r>
      <w:hyperlink r:id="rId27">
        <w:r w:rsidR="00114F3B">
          <w:rPr>
            <w:rFonts w:ascii="Times New Roman" w:eastAsia="Times New Roman" w:hAnsi="Times New Roman" w:cs="Times New Roman"/>
            <w:color w:val="0000FF"/>
            <w:sz w:val="24"/>
            <w:szCs w:val="24"/>
            <w:u w:val="single"/>
          </w:rPr>
          <w:t>https://arxiv.org/abs/2309.15217</w:t>
        </w:r>
      </w:hyperlink>
    </w:p>
    <w:p w14:paraId="3D483E3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Gao, T., Yen, H., Yu, J., &amp; Chen, D. (2023). Enabling large language models to generate text with citations. </w:t>
      </w:r>
      <w:r>
        <w:rPr>
          <w:rFonts w:ascii="Times New Roman" w:eastAsia="Times New Roman" w:hAnsi="Times New Roman" w:cs="Times New Roman"/>
          <w:i/>
          <w:iCs/>
          <w:sz w:val="24"/>
          <w:szCs w:val="24"/>
        </w:rPr>
        <w:t>Proceedings of the 2023 Conference on Empirical Methods in Natural Language Processing</w:t>
      </w:r>
      <w:r>
        <w:rPr>
          <w:rFonts w:ascii="Times New Roman" w:eastAsia="Times New Roman" w:hAnsi="Times New Roman" w:cs="Times New Roman"/>
          <w:sz w:val="24"/>
          <w:szCs w:val="24"/>
        </w:rPr>
        <w:t>, 6465–6488. </w:t>
      </w:r>
      <w:hyperlink r:id="rId28">
        <w:r w:rsidR="00114F3B">
          <w:rPr>
            <w:rFonts w:ascii="Times New Roman" w:eastAsia="Times New Roman" w:hAnsi="Times New Roman" w:cs="Times New Roman"/>
            <w:color w:val="0000FF"/>
            <w:sz w:val="24"/>
            <w:szCs w:val="24"/>
            <w:u w:val="single"/>
          </w:rPr>
          <w:t>https://arxiv.org/abs/2305.14627</w:t>
        </w:r>
      </w:hyperlink>
    </w:p>
    <w:p w14:paraId="1787B8B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Gao, Y., Xiong, Y., Dibia, V., et al. (2024). Retrieval-augmented generation for large language models: A survey.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arXiv:2312.10997. </w:t>
      </w:r>
      <w:hyperlink r:id="rId29">
        <w:r w:rsidR="00114F3B">
          <w:rPr>
            <w:rFonts w:ascii="Times New Roman" w:eastAsia="Times New Roman" w:hAnsi="Times New Roman" w:cs="Times New Roman"/>
            <w:color w:val="0000FF"/>
            <w:sz w:val="24"/>
            <w:szCs w:val="24"/>
            <w:u w:val="single"/>
          </w:rPr>
          <w:t>https://doi.org/10.48550/arXiv.2312.10997</w:t>
        </w:r>
      </w:hyperlink>
    </w:p>
    <w:p w14:paraId="4CC6448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Gokdemir, O., et al. (2025). </w:t>
      </w:r>
      <w:proofErr w:type="spellStart"/>
      <w:r>
        <w:rPr>
          <w:rFonts w:ascii="Times New Roman" w:eastAsia="Times New Roman" w:hAnsi="Times New Roman" w:cs="Times New Roman"/>
          <w:sz w:val="24"/>
          <w:szCs w:val="24"/>
        </w:rPr>
        <w:t>HiPerRAG</w:t>
      </w:r>
      <w:proofErr w:type="spellEnd"/>
      <w:r>
        <w:rPr>
          <w:rFonts w:ascii="Times New Roman" w:eastAsia="Times New Roman" w:hAnsi="Times New Roman" w:cs="Times New Roman"/>
          <w:sz w:val="24"/>
          <w:szCs w:val="24"/>
        </w:rPr>
        <w:t>: High-performance retrieval augmented generation for scientific insights. </w:t>
      </w:r>
      <w:r>
        <w:rPr>
          <w:rFonts w:ascii="Times New Roman" w:eastAsia="Times New Roman" w:hAnsi="Times New Roman" w:cs="Times New Roman"/>
          <w:i/>
          <w:iCs/>
          <w:sz w:val="24"/>
          <w:szCs w:val="24"/>
        </w:rPr>
        <w:t>Proceedings of the 2025 IEEE/ACM International Symposium on Cluster, Cloud and Internet Computing (</w:t>
      </w:r>
      <w:proofErr w:type="spellStart"/>
      <w:r>
        <w:rPr>
          <w:rFonts w:ascii="Times New Roman" w:eastAsia="Times New Roman" w:hAnsi="Times New Roman" w:cs="Times New Roman"/>
          <w:i/>
          <w:iCs/>
          <w:sz w:val="24"/>
          <w:szCs w:val="24"/>
        </w:rPr>
        <w:t>CCGrid</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w:t>
      </w:r>
      <w:hyperlink r:id="rId30">
        <w:r w:rsidR="00114F3B">
          <w:rPr>
            <w:rFonts w:ascii="Times New Roman" w:eastAsia="Times New Roman" w:hAnsi="Times New Roman" w:cs="Times New Roman"/>
            <w:color w:val="0000FF"/>
            <w:sz w:val="24"/>
            <w:szCs w:val="24"/>
            <w:u w:val="single"/>
          </w:rPr>
          <w:t>https://doi.org/10.1109/ccgrid64434.2025.00035</w:t>
        </w:r>
      </w:hyperlink>
    </w:p>
    <w:p w14:paraId="6D3FFF81"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(2024). </w:t>
      </w:r>
      <w:r>
        <w:rPr>
          <w:rFonts w:ascii="Times New Roman" w:eastAsia="Times New Roman" w:hAnsi="Times New Roman" w:cs="Times New Roman"/>
          <w:i/>
          <w:iCs/>
          <w:sz w:val="24"/>
          <w:szCs w:val="24"/>
        </w:rPr>
        <w:t>Gemini API terms of service</w:t>
      </w:r>
      <w:r>
        <w:rPr>
          <w:rFonts w:ascii="Times New Roman" w:eastAsia="Times New Roman" w:hAnsi="Times New Roman" w:cs="Times New Roman"/>
          <w:sz w:val="24"/>
          <w:szCs w:val="24"/>
        </w:rPr>
        <w:t>. Google for Developers. </w:t>
      </w:r>
      <w:hyperlink r:id="rId31">
        <w:r w:rsidR="00114F3B">
          <w:rPr>
            <w:rFonts w:ascii="Times New Roman" w:eastAsia="Times New Roman" w:hAnsi="Times New Roman" w:cs="Times New Roman"/>
            <w:color w:val="0000FF"/>
            <w:sz w:val="24"/>
            <w:szCs w:val="24"/>
            <w:u w:val="single"/>
          </w:rPr>
          <w:t>https://ai.google.dev/gemini-api/terms</w:t>
        </w:r>
      </w:hyperlink>
    </w:p>
    <w:p w14:paraId="4B39D97F"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Khaliq, A., Abbasi, S. B., Ilyas, A., Shaikh, S. M., &amp; Ali, S. A. (2024). Optimizing academic queries with retrieval-augmented large language models. </w:t>
      </w:r>
      <w:r>
        <w:rPr>
          <w:rFonts w:ascii="Times New Roman" w:eastAsia="Times New Roman" w:hAnsi="Times New Roman" w:cs="Times New Roman"/>
          <w:i/>
          <w:iCs/>
          <w:sz w:val="24"/>
          <w:szCs w:val="24"/>
        </w:rPr>
        <w:t>Migration Letters, 21</w:t>
      </w:r>
      <w:r>
        <w:rPr>
          <w:rFonts w:ascii="Times New Roman" w:eastAsia="Times New Roman" w:hAnsi="Times New Roman" w:cs="Times New Roman"/>
          <w:sz w:val="24"/>
          <w:szCs w:val="24"/>
        </w:rPr>
        <w:t>(S10), 1274–1283. </w:t>
      </w:r>
      <w:hyperlink r:id="rId32">
        <w:r w:rsidR="00114F3B">
          <w:rPr>
            <w:rFonts w:ascii="Times New Roman" w:eastAsia="Times New Roman" w:hAnsi="Times New Roman" w:cs="Times New Roman"/>
            <w:color w:val="0000FF"/>
            <w:sz w:val="24"/>
            <w:szCs w:val="24"/>
            <w:u w:val="single"/>
          </w:rPr>
          <w:t>https://doi.org/10.59670/ml.v21is10.11858</w:t>
        </w:r>
      </w:hyperlink>
    </w:p>
    <w:p w14:paraId="0559AAB1"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Kovanen, S. (2025). </w:t>
      </w:r>
      <w:r>
        <w:rPr>
          <w:rFonts w:ascii="Times New Roman" w:eastAsia="Times New Roman" w:hAnsi="Times New Roman" w:cs="Times New Roman"/>
          <w:i/>
          <w:iCs/>
          <w:sz w:val="24"/>
          <w:szCs w:val="24"/>
        </w:rPr>
        <w:t>Hallucination mitigation for faithful retrieval-augmented generation—Investigating layer-contrastive and attention-based decoding methods</w:t>
      </w:r>
      <w:r>
        <w:rPr>
          <w:rFonts w:ascii="Times New Roman" w:eastAsia="Times New Roman" w:hAnsi="Times New Roman" w:cs="Times New Roman"/>
          <w:sz w:val="24"/>
          <w:szCs w:val="24"/>
        </w:rPr>
        <w:t xml:space="preserve"> [Master's thesis, Aalto University]. </w:t>
      </w:r>
      <w:proofErr w:type="spellStart"/>
      <w:r>
        <w:rPr>
          <w:rFonts w:ascii="Times New Roman" w:eastAsia="Times New Roman" w:hAnsi="Times New Roman" w:cs="Times New Roman"/>
          <w:sz w:val="24"/>
          <w:szCs w:val="24"/>
        </w:rPr>
        <w:t>Aaltodoc</w:t>
      </w:r>
      <w:proofErr w:type="spellEnd"/>
      <w:r>
        <w:rPr>
          <w:rFonts w:ascii="Times New Roman" w:eastAsia="Times New Roman" w:hAnsi="Times New Roman" w:cs="Times New Roman"/>
          <w:sz w:val="24"/>
          <w:szCs w:val="24"/>
        </w:rPr>
        <w:t>. </w:t>
      </w:r>
      <w:hyperlink r:id="rId33">
        <w:r w:rsidR="00114F3B">
          <w:rPr>
            <w:rFonts w:ascii="Times New Roman" w:eastAsia="Times New Roman" w:hAnsi="Times New Roman" w:cs="Times New Roman"/>
            <w:color w:val="0000FF"/>
            <w:sz w:val="24"/>
            <w:szCs w:val="24"/>
            <w:u w:val="single"/>
          </w:rPr>
          <w:t>https://aaltodoc.aalto.fi</w:t>
        </w:r>
      </w:hyperlink>
    </w:p>
    <w:p w14:paraId="5BF5FBB3"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Lewis, P., Perez, E., </w:t>
      </w:r>
      <w:proofErr w:type="spellStart"/>
      <w:r>
        <w:rPr>
          <w:rFonts w:ascii="Times New Roman" w:eastAsia="Times New Roman" w:hAnsi="Times New Roman" w:cs="Times New Roman"/>
          <w:sz w:val="24"/>
          <w:szCs w:val="24"/>
        </w:rPr>
        <w:t>Piktus</w:t>
      </w:r>
      <w:proofErr w:type="spellEnd"/>
      <w:r>
        <w:rPr>
          <w:rFonts w:ascii="Times New Roman" w:eastAsia="Times New Roman" w:hAnsi="Times New Roman" w:cs="Times New Roman"/>
          <w:sz w:val="24"/>
          <w:szCs w:val="24"/>
        </w:rPr>
        <w:t xml:space="preserve">, A., Petroni, F., </w:t>
      </w:r>
      <w:proofErr w:type="spellStart"/>
      <w:r>
        <w:rPr>
          <w:rFonts w:ascii="Times New Roman" w:eastAsia="Times New Roman" w:hAnsi="Times New Roman" w:cs="Times New Roman"/>
          <w:sz w:val="24"/>
          <w:szCs w:val="24"/>
        </w:rPr>
        <w:t>Karpukhin</w:t>
      </w:r>
      <w:proofErr w:type="spellEnd"/>
      <w:r>
        <w:rPr>
          <w:rFonts w:ascii="Times New Roman" w:eastAsia="Times New Roman" w:hAnsi="Times New Roman" w:cs="Times New Roman"/>
          <w:sz w:val="24"/>
          <w:szCs w:val="24"/>
        </w:rPr>
        <w:t xml:space="preserve">, V., Goyal, N., Kutuzov, A., Lewis, M., Yih, W., </w:t>
      </w:r>
      <w:proofErr w:type="spellStart"/>
      <w:r>
        <w:rPr>
          <w:rFonts w:ascii="Times New Roman" w:eastAsia="Times New Roman" w:hAnsi="Times New Roman" w:cs="Times New Roman"/>
          <w:sz w:val="24"/>
          <w:szCs w:val="24"/>
        </w:rPr>
        <w:t>Rocktäschel</w:t>
      </w:r>
      <w:proofErr w:type="spellEnd"/>
      <w:r>
        <w:rPr>
          <w:rFonts w:ascii="Times New Roman" w:eastAsia="Times New Roman" w:hAnsi="Times New Roman" w:cs="Times New Roman"/>
          <w:sz w:val="24"/>
          <w:szCs w:val="24"/>
        </w:rPr>
        <w:t>, T., &amp; Riedel, S. (2020). Retrieval-augmented generation for knowledge-intensive NLP tasks. </w:t>
      </w:r>
      <w:r>
        <w:rPr>
          <w:rFonts w:ascii="Times New Roman" w:eastAsia="Times New Roman" w:hAnsi="Times New Roman" w:cs="Times New Roman"/>
          <w:i/>
          <w:iCs/>
          <w:sz w:val="24"/>
          <w:szCs w:val="24"/>
        </w:rPr>
        <w:t>Advances in Neural Information Processing Systems, 33</w:t>
      </w:r>
      <w:r>
        <w:rPr>
          <w:rFonts w:ascii="Times New Roman" w:eastAsia="Times New Roman" w:hAnsi="Times New Roman" w:cs="Times New Roman"/>
          <w:sz w:val="24"/>
          <w:szCs w:val="24"/>
        </w:rPr>
        <w:t>, 9459–9474. </w:t>
      </w:r>
      <w:hyperlink r:id="rId34">
        <w:r w:rsidR="00114F3B">
          <w:rPr>
            <w:rFonts w:ascii="Times New Roman" w:eastAsia="Times New Roman" w:hAnsi="Times New Roman" w:cs="Times New Roman"/>
            <w:color w:val="0000FF"/>
            <w:sz w:val="24"/>
            <w:szCs w:val="24"/>
            <w:u w:val="single"/>
          </w:rPr>
          <w:t>https://arxiv.org/abs/2005.11401</w:t>
        </w:r>
      </w:hyperlink>
    </w:p>
    <w:p w14:paraId="06C5F31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 Z., Wang, Z., Wang, W., Hung, K., Xie, H., &amp; Wang, F. L. (2025). Retrieval-augmented generation for educational application: A systematic survey. </w:t>
      </w:r>
      <w:r>
        <w:rPr>
          <w:rFonts w:ascii="Times New Roman" w:eastAsia="Times New Roman" w:hAnsi="Times New Roman" w:cs="Times New Roman"/>
          <w:i/>
          <w:iCs/>
          <w:sz w:val="24"/>
          <w:szCs w:val="24"/>
        </w:rPr>
        <w:t>Computers &amp; Education: Artificial Intelligence, 8</w:t>
      </w:r>
      <w:r>
        <w:rPr>
          <w:rFonts w:ascii="Times New Roman" w:eastAsia="Times New Roman" w:hAnsi="Times New Roman" w:cs="Times New Roman"/>
          <w:sz w:val="24"/>
          <w:szCs w:val="24"/>
        </w:rPr>
        <w:t>, 100417. </w:t>
      </w:r>
      <w:hyperlink r:id="rId35">
        <w:r w:rsidR="00114F3B">
          <w:rPr>
            <w:rFonts w:ascii="Times New Roman" w:eastAsia="Times New Roman" w:hAnsi="Times New Roman" w:cs="Times New Roman"/>
            <w:color w:val="0000FF"/>
            <w:sz w:val="24"/>
            <w:szCs w:val="24"/>
            <w:u w:val="single"/>
          </w:rPr>
          <w:t>https://doi.org/10.1016/j.caeai.2025.100417</w:t>
        </w:r>
      </w:hyperlink>
    </w:p>
    <w:p w14:paraId="730BBD3A"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Liu, N. F., Lin, K., Hewitt, J., Paranjape, A., Bevilacqua, M., Petroni, F., &amp; Liang, P. (2024). Lost in the middle: How language models use long contexts. </w:t>
      </w:r>
      <w:r>
        <w:rPr>
          <w:rFonts w:ascii="Times New Roman" w:eastAsia="Times New Roman" w:hAnsi="Times New Roman" w:cs="Times New Roman"/>
          <w:i/>
          <w:iCs/>
          <w:sz w:val="24"/>
          <w:szCs w:val="24"/>
        </w:rPr>
        <w:t>Transactions of the Association for Computational Linguistics, 12</w:t>
      </w:r>
      <w:r>
        <w:rPr>
          <w:rFonts w:ascii="Times New Roman" w:eastAsia="Times New Roman" w:hAnsi="Times New Roman" w:cs="Times New Roman"/>
          <w:sz w:val="24"/>
          <w:szCs w:val="24"/>
        </w:rPr>
        <w:t>, 157–173. </w:t>
      </w:r>
      <w:hyperlink r:id="rId36">
        <w:r w:rsidR="00114F3B">
          <w:rPr>
            <w:rFonts w:ascii="Times New Roman" w:eastAsia="Times New Roman" w:hAnsi="Times New Roman" w:cs="Times New Roman"/>
            <w:color w:val="0000FF"/>
            <w:sz w:val="24"/>
            <w:szCs w:val="24"/>
            <w:u w:val="single"/>
          </w:rPr>
          <w:t>https://doi.org/10.1162/tacl_a_00638</w:t>
        </w:r>
      </w:hyperlink>
    </w:p>
    <w:p w14:paraId="24674E4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Mezhlumyan</w:t>
      </w:r>
      <w:proofErr w:type="spellEnd"/>
      <w:r>
        <w:rPr>
          <w:rFonts w:ascii="Times New Roman" w:eastAsia="Times New Roman" w:hAnsi="Times New Roman" w:cs="Times New Roman"/>
          <w:sz w:val="24"/>
          <w:szCs w:val="24"/>
        </w:rPr>
        <w:t>, A. (2024). </w:t>
      </w:r>
      <w:r>
        <w:rPr>
          <w:rFonts w:ascii="Times New Roman" w:eastAsia="Times New Roman" w:hAnsi="Times New Roman" w:cs="Times New Roman"/>
          <w:i/>
          <w:iCs/>
          <w:sz w:val="24"/>
          <w:szCs w:val="24"/>
        </w:rPr>
        <w:t>Building a retrieval-augmented generation (RAG) system for academic papers</w:t>
      </w:r>
      <w:r>
        <w:rPr>
          <w:rFonts w:ascii="Times New Roman" w:eastAsia="Times New Roman" w:hAnsi="Times New Roman" w:cs="Times New Roman"/>
          <w:sz w:val="24"/>
          <w:szCs w:val="24"/>
        </w:rPr>
        <w:t> [Capstone project, American University of Armenia]. AUA Repository. </w:t>
      </w:r>
      <w:hyperlink r:id="rId37">
        <w:r w:rsidR="00114F3B">
          <w:rPr>
            <w:rFonts w:ascii="Times New Roman" w:eastAsia="Times New Roman" w:hAnsi="Times New Roman" w:cs="Times New Roman"/>
            <w:color w:val="0000FF"/>
            <w:sz w:val="24"/>
            <w:szCs w:val="24"/>
            <w:u w:val="single"/>
          </w:rPr>
          <w:t>https://aua.am</w:t>
        </w:r>
      </w:hyperlink>
    </w:p>
    <w:p w14:paraId="2A3315DF"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Web Application Security Project (OWASP). (2025). </w:t>
      </w:r>
      <w:r>
        <w:rPr>
          <w:rFonts w:ascii="Times New Roman" w:eastAsia="Times New Roman" w:hAnsi="Times New Roman" w:cs="Times New Roman"/>
          <w:i/>
          <w:iCs/>
          <w:sz w:val="24"/>
          <w:szCs w:val="24"/>
        </w:rPr>
        <w:t>OWASP Top 10 for Large Language Model applications</w:t>
      </w:r>
      <w:r>
        <w:rPr>
          <w:rFonts w:ascii="Times New Roman" w:eastAsia="Times New Roman" w:hAnsi="Times New Roman" w:cs="Times New Roman"/>
          <w:sz w:val="24"/>
          <w:szCs w:val="24"/>
        </w:rPr>
        <w:t>. OWASP Foundation. </w:t>
      </w:r>
      <w:hyperlink r:id="rId38">
        <w:r w:rsidR="00114F3B">
          <w:rPr>
            <w:rFonts w:ascii="Times New Roman" w:eastAsia="Times New Roman" w:hAnsi="Times New Roman" w:cs="Times New Roman"/>
            <w:color w:val="0000FF"/>
            <w:sz w:val="24"/>
            <w:szCs w:val="24"/>
            <w:u w:val="single"/>
          </w:rPr>
          <w:t>https://owasp.org/www-project-top-10-for-large-language-model-applications/</w:t>
        </w:r>
      </w:hyperlink>
    </w:p>
    <w:p w14:paraId="04DACD3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Oreški, D., &amp; Vlahek, D. (2024). Retrieval augmented generation in large language models: Development of AI chatbot for student support. </w:t>
      </w:r>
      <w:r>
        <w:rPr>
          <w:rFonts w:ascii="Times New Roman" w:eastAsia="Times New Roman" w:hAnsi="Times New Roman" w:cs="Times New Roman"/>
          <w:i/>
          <w:iCs/>
          <w:sz w:val="24"/>
          <w:szCs w:val="24"/>
        </w:rPr>
        <w:t>Proceedings of the 15th International Conference on e-Learning (eLearning 2024)</w:t>
      </w:r>
      <w:r>
        <w:rPr>
          <w:rFonts w:ascii="Times New Roman" w:eastAsia="Times New Roman" w:hAnsi="Times New Roman" w:cs="Times New Roman"/>
          <w:sz w:val="24"/>
          <w:szCs w:val="24"/>
        </w:rPr>
        <w:t>. CEUR Workshop Proceedings, Vol. 3685. </w:t>
      </w:r>
      <w:hyperlink r:id="rId39">
        <w:r w:rsidR="00114F3B">
          <w:rPr>
            <w:rFonts w:ascii="Times New Roman" w:eastAsia="Times New Roman" w:hAnsi="Times New Roman" w:cs="Times New Roman"/>
            <w:color w:val="0000FF"/>
            <w:sz w:val="24"/>
            <w:szCs w:val="24"/>
            <w:u w:val="single"/>
          </w:rPr>
          <w:t>https://ceur-ws.org/Vol-3685/</w:t>
        </w:r>
      </w:hyperlink>
    </w:p>
    <w:p w14:paraId="58FEF86A"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 D., Qiu, L., Hu, X., Zhang, T., Shi, P., Chang, S., Jiayang, C., Wang, C., Sun, S., Li, H., Zhang, Z., Wang, B., Jiang, J., He, T., Wang, Z., Liu, P., Zhang, Y., &amp; Zhang, Z. (2024). </w:t>
      </w:r>
      <w:proofErr w:type="spellStart"/>
      <w:r>
        <w:rPr>
          <w:rFonts w:ascii="Times New Roman" w:eastAsia="Times New Roman" w:hAnsi="Times New Roman" w:cs="Times New Roman"/>
          <w:sz w:val="24"/>
          <w:szCs w:val="24"/>
        </w:rPr>
        <w:t>RAGChecker</w:t>
      </w:r>
      <w:proofErr w:type="spellEnd"/>
      <w:r>
        <w:rPr>
          <w:rFonts w:ascii="Times New Roman" w:eastAsia="Times New Roman" w:hAnsi="Times New Roman" w:cs="Times New Roman"/>
          <w:sz w:val="24"/>
          <w:szCs w:val="24"/>
        </w:rPr>
        <w:t>: A fine-grained framework for diagnosing retrieval-augmented generation.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arXiv:2408.08067. </w:t>
      </w:r>
      <w:hyperlink r:id="rId40">
        <w:r w:rsidR="00114F3B">
          <w:rPr>
            <w:rFonts w:ascii="Times New Roman" w:eastAsia="Times New Roman" w:hAnsi="Times New Roman" w:cs="Times New Roman"/>
            <w:color w:val="0000FF"/>
            <w:sz w:val="24"/>
            <w:szCs w:val="24"/>
            <w:u w:val="single"/>
          </w:rPr>
          <w:t>https://arxiv.org/abs/2408.08067</w:t>
        </w:r>
      </w:hyperlink>
    </w:p>
    <w:p w14:paraId="488CE102"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Sambrano, L. C., Reyes, J. R. B., Fabro, R. B. B., Colar, C. K. F., &amp; Medrano, V. B. (2025). The influence of artificial intelligence (AI) on library patronage among college students. </w:t>
      </w:r>
      <w:r>
        <w:rPr>
          <w:rFonts w:ascii="Times New Roman" w:eastAsia="Times New Roman" w:hAnsi="Times New Roman" w:cs="Times New Roman"/>
          <w:i/>
          <w:iCs/>
          <w:sz w:val="24"/>
          <w:szCs w:val="24"/>
        </w:rPr>
        <w:t>International Journal of Research and Innovation in Social Science, 9</w:t>
      </w:r>
      <w:r>
        <w:rPr>
          <w:rFonts w:ascii="Times New Roman" w:eastAsia="Times New Roman" w:hAnsi="Times New Roman" w:cs="Times New Roman"/>
          <w:sz w:val="24"/>
          <w:szCs w:val="24"/>
        </w:rPr>
        <w:t>(7). </w:t>
      </w:r>
      <w:hyperlink r:id="rId41">
        <w:r w:rsidR="00114F3B">
          <w:rPr>
            <w:rFonts w:ascii="Times New Roman" w:eastAsia="Times New Roman" w:hAnsi="Times New Roman" w:cs="Times New Roman"/>
            <w:color w:val="0000FF"/>
            <w:sz w:val="24"/>
            <w:szCs w:val="24"/>
            <w:u w:val="single"/>
          </w:rPr>
          <w:t>https://doi.org/10.47772/IJRISS.2025.90700010</w:t>
        </w:r>
      </w:hyperlink>
    </w:p>
    <w:p w14:paraId="5FA0F625"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Santra, P. P., Kashyap, R., Mahata, A., &amp; </w:t>
      </w:r>
      <w:proofErr w:type="spellStart"/>
      <w:r>
        <w:rPr>
          <w:rFonts w:ascii="Times New Roman" w:eastAsia="Times New Roman" w:hAnsi="Times New Roman" w:cs="Times New Roman"/>
          <w:sz w:val="24"/>
          <w:szCs w:val="24"/>
        </w:rPr>
        <w:t>Sk</w:t>
      </w:r>
      <w:proofErr w:type="spellEnd"/>
      <w:r>
        <w:rPr>
          <w:rFonts w:ascii="Times New Roman" w:eastAsia="Times New Roman" w:hAnsi="Times New Roman" w:cs="Times New Roman"/>
          <w:sz w:val="24"/>
          <w:szCs w:val="24"/>
        </w:rPr>
        <w:t xml:space="preserve">, M. A. (2025). Leveraging retrieval-augmented generation in local library systems: The </w:t>
      </w:r>
      <w:proofErr w:type="spellStart"/>
      <w:r>
        <w:rPr>
          <w:rFonts w:ascii="Times New Roman" w:eastAsia="Times New Roman" w:hAnsi="Times New Roman" w:cs="Times New Roman"/>
          <w:sz w:val="24"/>
          <w:szCs w:val="24"/>
        </w:rPr>
        <w:t>BiblioGPT</w:t>
      </w:r>
      <w:proofErr w:type="spellEnd"/>
      <w:r>
        <w:rPr>
          <w:rFonts w:ascii="Times New Roman" w:eastAsia="Times New Roman" w:hAnsi="Times New Roman" w:cs="Times New Roman"/>
          <w:sz w:val="24"/>
          <w:szCs w:val="24"/>
        </w:rPr>
        <w:t xml:space="preserve"> prototype. </w:t>
      </w:r>
      <w:r>
        <w:rPr>
          <w:rFonts w:ascii="Times New Roman" w:eastAsia="Times New Roman" w:hAnsi="Times New Roman" w:cs="Times New Roman"/>
          <w:i/>
          <w:iCs/>
          <w:sz w:val="24"/>
          <w:szCs w:val="24"/>
        </w:rPr>
        <w:t>14th International CALIBER 2025</w:t>
      </w:r>
      <w:r>
        <w:rPr>
          <w:rFonts w:ascii="Times New Roman" w:eastAsia="Times New Roman" w:hAnsi="Times New Roman" w:cs="Times New Roman"/>
          <w:sz w:val="24"/>
          <w:szCs w:val="24"/>
        </w:rPr>
        <w:t>. </w:t>
      </w:r>
      <w:hyperlink r:id="rId42">
        <w:r w:rsidR="00114F3B">
          <w:rPr>
            <w:rFonts w:ascii="Times New Roman" w:eastAsia="Times New Roman" w:hAnsi="Times New Roman" w:cs="Times New Roman"/>
            <w:color w:val="0000FF"/>
            <w:sz w:val="24"/>
            <w:szCs w:val="24"/>
            <w:u w:val="single"/>
          </w:rPr>
          <w:t>https://ir.inflibnet.ac.in/handle/1944/2521</w:t>
        </w:r>
      </w:hyperlink>
    </w:p>
    <w:p w14:paraId="3D0FE346"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(2026). </w:t>
      </w:r>
      <w:proofErr w:type="spellStart"/>
      <w:r>
        <w:rPr>
          <w:rFonts w:ascii="Times New Roman" w:eastAsia="Times New Roman" w:hAnsi="Times New Roman" w:cs="Times New Roman"/>
          <w:i/>
          <w:iCs/>
          <w:sz w:val="24"/>
          <w:szCs w:val="24"/>
        </w:rPr>
        <w:t>pgvector</w:t>
      </w:r>
      <w:proofErr w:type="spellEnd"/>
      <w:r>
        <w:rPr>
          <w:rFonts w:ascii="Times New Roman" w:eastAsia="Times New Roman" w:hAnsi="Times New Roman" w:cs="Times New Roman"/>
          <w:i/>
          <w:iCs/>
          <w:sz w:val="24"/>
          <w:szCs w:val="24"/>
        </w:rPr>
        <w:t>: Embeddings and vector similarity search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Technical Documentation. </w:t>
      </w:r>
      <w:hyperlink r:id="rId43">
        <w:r w:rsidR="00114F3B">
          <w:rPr>
            <w:rFonts w:ascii="Times New Roman" w:eastAsia="Times New Roman" w:hAnsi="Times New Roman" w:cs="Times New Roman"/>
            <w:color w:val="0000FF"/>
            <w:sz w:val="24"/>
            <w:szCs w:val="24"/>
            <w:u w:val="single"/>
          </w:rPr>
          <w:t>https://supabase.com/docs/guides/database/extensions/pgvector</w:t>
        </w:r>
      </w:hyperlink>
    </w:p>
    <w:p w14:paraId="258EDB9C" w14:textId="77777777" w:rsidR="00114F3B" w:rsidRDefault="00000000">
      <w:pPr>
        <w:spacing w:before="240" w:line="480" w:lineRule="auto"/>
        <w:ind w:left="720" w:hanging="72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lastRenderedPageBreak/>
        <w:t>Supreme Court of the Philippines. (2024). </w:t>
      </w:r>
      <w:r>
        <w:rPr>
          <w:rFonts w:ascii="Times New Roman" w:eastAsia="Times New Roman" w:hAnsi="Times New Roman" w:cs="Times New Roman"/>
          <w:i/>
          <w:iCs/>
          <w:sz w:val="24"/>
          <w:szCs w:val="24"/>
        </w:rPr>
        <w:t>Chief Justice Gesmundo: Judiciary E-Library to use AI technology to improve legal research</w:t>
      </w:r>
      <w:r>
        <w:rPr>
          <w:rFonts w:ascii="Times New Roman" w:eastAsia="Times New Roman" w:hAnsi="Times New Roman" w:cs="Times New Roman"/>
          <w:sz w:val="24"/>
          <w:szCs w:val="24"/>
        </w:rPr>
        <w:t xml:space="preserve">. Public Information Office. </w:t>
      </w:r>
      <w:hyperlink r:id="rId44">
        <w:r w:rsidR="00114F3B">
          <w:rPr>
            <w:rFonts w:ascii="Times New Roman" w:eastAsia="Times New Roman" w:hAnsi="Times New Roman" w:cs="Times New Roman"/>
            <w:color w:val="0000FF"/>
            <w:sz w:val="24"/>
            <w:szCs w:val="24"/>
            <w:u w:val="single"/>
          </w:rPr>
          <w:t>https://sc.judiciary.gov.ph/chief-justice-gesmundo-judiciary-e-library-to-use-ai-technology-to-improve-legal-research/</w:t>
        </w:r>
      </w:hyperlink>
    </w:p>
    <w:p w14:paraId="748BA7B7" w14:textId="77777777" w:rsidR="00114F3B" w:rsidRDefault="00000000">
      <w:pPr>
        <w:spacing w:before="240" w:line="480" w:lineRule="auto"/>
        <w:ind w:left="720" w:hanging="72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Vercruysse, A., Rojas Melendez, J. A., &amp; Colpaert, P. (2024). Linking application and semantic data with RDF Lens. </w:t>
      </w:r>
      <w:r>
        <w:rPr>
          <w:rFonts w:ascii="Times New Roman" w:eastAsia="Times New Roman" w:hAnsi="Times New Roman" w:cs="Times New Roman"/>
          <w:i/>
          <w:iCs/>
          <w:sz w:val="24"/>
          <w:szCs w:val="24"/>
        </w:rPr>
        <w:t>Proceedings of the 20th International Conference on Semantic Systems (</w:t>
      </w:r>
      <w:proofErr w:type="spellStart"/>
      <w:r>
        <w:rPr>
          <w:rFonts w:ascii="Times New Roman" w:eastAsia="Times New Roman" w:hAnsi="Times New Roman" w:cs="Times New Roman"/>
          <w:i/>
          <w:iCs/>
          <w:sz w:val="24"/>
          <w:szCs w:val="24"/>
        </w:rPr>
        <w:t>SEMANTiCS</w:t>
      </w:r>
      <w:proofErr w:type="spellEnd"/>
      <w:r>
        <w:rPr>
          <w:rFonts w:ascii="Times New Roman" w:eastAsia="Times New Roman" w:hAnsi="Times New Roman" w:cs="Times New Roman"/>
          <w:i/>
          <w:iCs/>
          <w:sz w:val="24"/>
          <w:szCs w:val="24"/>
        </w:rPr>
        <w:t xml:space="preserve"> 2024)</w:t>
      </w:r>
      <w:r>
        <w:rPr>
          <w:rFonts w:ascii="Times New Roman" w:eastAsia="Times New Roman" w:hAnsi="Times New Roman" w:cs="Times New Roman"/>
          <w:sz w:val="24"/>
          <w:szCs w:val="24"/>
        </w:rPr>
        <w:t>. CEUR Workshop Proceedings, Vol. 3759. </w:t>
      </w:r>
      <w:hyperlink r:id="rId45">
        <w:r w:rsidR="00114F3B">
          <w:rPr>
            <w:rFonts w:ascii="Times New Roman" w:eastAsia="Times New Roman" w:hAnsi="Times New Roman" w:cs="Times New Roman"/>
            <w:color w:val="0000FF"/>
            <w:sz w:val="24"/>
            <w:szCs w:val="24"/>
            <w:u w:val="single"/>
          </w:rPr>
          <w:t>https://ceur-ws.org/Vol-3759/paper13.pdf</w:t>
        </w:r>
      </w:hyperlink>
    </w:p>
    <w:p w14:paraId="2CAE1297"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Wong, K., et al. (2025). Retrieval-augmented systems can be dangerous medical communicators.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arXiv:2502.14898. </w:t>
      </w:r>
      <w:hyperlink r:id="rId46">
        <w:r w:rsidR="00114F3B">
          <w:rPr>
            <w:rFonts w:ascii="Times New Roman" w:eastAsia="Times New Roman" w:hAnsi="Times New Roman" w:cs="Times New Roman"/>
            <w:color w:val="0000FF"/>
            <w:sz w:val="24"/>
            <w:szCs w:val="24"/>
            <w:u w:val="single"/>
          </w:rPr>
          <w:t>https://arxiv.org/abs/2502.14898</w:t>
        </w:r>
      </w:hyperlink>
    </w:p>
    <w:p w14:paraId="3DE11795" w14:textId="251CA7AF" w:rsidR="00114F3B" w:rsidRDefault="00000000" w:rsidP="00EB4465">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Xuan, W., &amp; Shaw, C. (2025). Reimagining library services in the age of AI: A case study from a Canadian academic library. </w:t>
      </w:r>
      <w:r>
        <w:rPr>
          <w:rFonts w:ascii="Times New Roman" w:eastAsia="Times New Roman" w:hAnsi="Times New Roman" w:cs="Times New Roman"/>
          <w:i/>
          <w:iCs/>
          <w:sz w:val="24"/>
          <w:szCs w:val="24"/>
        </w:rPr>
        <w:t>Proceedings of the IATUL Conferences</w:t>
      </w:r>
      <w:r>
        <w:rPr>
          <w:rFonts w:ascii="Times New Roman" w:eastAsia="Times New Roman" w:hAnsi="Times New Roman" w:cs="Times New Roman"/>
          <w:sz w:val="24"/>
          <w:szCs w:val="24"/>
        </w:rPr>
        <w:t>, Paper 4. </w:t>
      </w:r>
      <w:hyperlink r:id="rId47">
        <w:r w:rsidR="00114F3B">
          <w:rPr>
            <w:rFonts w:ascii="Times New Roman" w:eastAsia="Times New Roman" w:hAnsi="Times New Roman" w:cs="Times New Roman"/>
            <w:color w:val="0000FF"/>
            <w:sz w:val="24"/>
            <w:szCs w:val="24"/>
            <w:u w:val="single"/>
          </w:rPr>
          <w:t>https://doi.org/10.5703/1288284318042</w:t>
        </w:r>
      </w:hyperlink>
    </w:p>
    <w:sectPr w:rsidR="00114F3B">
      <w:headerReference w:type="default" r:id="rId4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618D9" w14:textId="77777777" w:rsidR="00451483" w:rsidRDefault="00451483">
      <w:pPr>
        <w:spacing w:line="240" w:lineRule="auto"/>
      </w:pPr>
      <w:r>
        <w:separator/>
      </w:r>
    </w:p>
  </w:endnote>
  <w:endnote w:type="continuationSeparator" w:id="0">
    <w:p w14:paraId="198E4BBE" w14:textId="77777777" w:rsidR="00451483" w:rsidRDefault="004514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03B0A52D-06BB-45EC-B9B5-CAE25CFF07E6}"/>
    <w:embedItalic r:id="rId2" w:fontKey="{747E4953-FB12-4760-80C6-826A068EFBB7}"/>
  </w:font>
  <w:font w:name="Calibri">
    <w:panose1 w:val="020F0502020204030204"/>
    <w:charset w:val="00"/>
    <w:family w:val="swiss"/>
    <w:pitch w:val="variable"/>
    <w:sig w:usb0="E4002EFF" w:usb1="C200247B" w:usb2="00000009" w:usb3="00000000" w:csb0="000001FF" w:csb1="00000000"/>
    <w:embedRegular r:id="rId3" w:fontKey="{2DA591A1-2C84-4373-BFD0-7A91DC940B4E}"/>
  </w:font>
  <w:font w:name="Cambria">
    <w:panose1 w:val="02040503050406030204"/>
    <w:charset w:val="00"/>
    <w:family w:val="roman"/>
    <w:pitch w:val="variable"/>
    <w:sig w:usb0="E00006FF" w:usb1="420024FF" w:usb2="02000000" w:usb3="00000000" w:csb0="0000019F" w:csb1="00000000"/>
    <w:embedRegular r:id="rId4" w:fontKey="{0FF5774F-C7C5-4E91-B3C6-C4726C984E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0A3CB" w14:textId="77777777" w:rsidR="00451483" w:rsidRDefault="00451483">
      <w:pPr>
        <w:spacing w:line="240" w:lineRule="auto"/>
      </w:pPr>
      <w:r>
        <w:separator/>
      </w:r>
    </w:p>
  </w:footnote>
  <w:footnote w:type="continuationSeparator" w:id="0">
    <w:p w14:paraId="60A017D9" w14:textId="77777777" w:rsidR="00451483" w:rsidRDefault="004514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A15D" w14:textId="77777777" w:rsidR="00114F3B" w:rsidRDefault="00000000">
    <w:pPr>
      <w:pBdr>
        <w:top w:val="nil"/>
        <w:left w:val="nil"/>
        <w:bottom w:val="nil"/>
        <w:right w:val="nil"/>
        <w:between w:val="nil"/>
      </w:pBdr>
      <w:tabs>
        <w:tab w:val="center" w:pos="4680"/>
        <w:tab w:val="right" w:pos="9360"/>
      </w:tabs>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0C3B61">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4B625370" w14:textId="77777777" w:rsidR="00114F3B" w:rsidRDefault="00114F3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07CC7"/>
    <w:multiLevelType w:val="multilevel"/>
    <w:tmpl w:val="86F29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B8769E4"/>
    <w:multiLevelType w:val="multilevel"/>
    <w:tmpl w:val="48BEF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A75695"/>
    <w:multiLevelType w:val="multilevel"/>
    <w:tmpl w:val="9B269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91493A"/>
    <w:multiLevelType w:val="multilevel"/>
    <w:tmpl w:val="89AAA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7635926"/>
    <w:multiLevelType w:val="multilevel"/>
    <w:tmpl w:val="C4A8E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5217464">
    <w:abstractNumId w:val="3"/>
  </w:num>
  <w:num w:numId="2" w16cid:durableId="1092816835">
    <w:abstractNumId w:val="1"/>
  </w:num>
  <w:num w:numId="3" w16cid:durableId="2045984041">
    <w:abstractNumId w:val="0"/>
  </w:num>
  <w:num w:numId="4" w16cid:durableId="815994041">
    <w:abstractNumId w:val="4"/>
  </w:num>
  <w:num w:numId="5" w16cid:durableId="1689331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3B"/>
    <w:rsid w:val="000B1134"/>
    <w:rsid w:val="000C3B61"/>
    <w:rsid w:val="00114F3B"/>
    <w:rsid w:val="001F39CD"/>
    <w:rsid w:val="002E4B92"/>
    <w:rsid w:val="00331F0F"/>
    <w:rsid w:val="003C3032"/>
    <w:rsid w:val="003E51BD"/>
    <w:rsid w:val="00451483"/>
    <w:rsid w:val="004962A4"/>
    <w:rsid w:val="004A1DA0"/>
    <w:rsid w:val="004D3B4C"/>
    <w:rsid w:val="004E12DE"/>
    <w:rsid w:val="004E2056"/>
    <w:rsid w:val="005037A9"/>
    <w:rsid w:val="006109DC"/>
    <w:rsid w:val="0061418A"/>
    <w:rsid w:val="007169F6"/>
    <w:rsid w:val="00780B1C"/>
    <w:rsid w:val="00810769"/>
    <w:rsid w:val="008F2659"/>
    <w:rsid w:val="009B5BA2"/>
    <w:rsid w:val="00A13EC6"/>
    <w:rsid w:val="00A56885"/>
    <w:rsid w:val="00A935F4"/>
    <w:rsid w:val="00B16681"/>
    <w:rsid w:val="00B4628E"/>
    <w:rsid w:val="00BC5786"/>
    <w:rsid w:val="00BD0189"/>
    <w:rsid w:val="00C60838"/>
    <w:rsid w:val="00D1031D"/>
    <w:rsid w:val="00D73875"/>
    <w:rsid w:val="00E90CAB"/>
    <w:rsid w:val="00EB4465"/>
    <w:rsid w:val="00EE6229"/>
    <w:rsid w:val="00F41D57"/>
    <w:rsid w:val="00F568A2"/>
    <w:rsid w:val="00FE0D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336C"/>
  <w15:docId w15:val="{E0F41021-14AF-4153-940A-773803DA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tcPr>
      <w:shd w:val="clear" w:color="auto" w:fill="141414"/>
    </w:tcPr>
  </w:style>
  <w:style w:type="paragraph" w:styleId="ListParagraph">
    <w:name w:val="List Paragraph"/>
    <w:basedOn w:val="Normal"/>
    <w:uiPriority w:val="34"/>
    <w:qFormat/>
    <w:rsid w:val="00496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5281/zenodo.14828861" TargetMode="External"/><Relationship Id="rId26" Type="http://schemas.openxmlformats.org/officeDocument/2006/relationships/hyperlink" Target="https://doi.org/10.30534/ijsait/2023/011242023" TargetMode="External"/><Relationship Id="rId39" Type="http://schemas.openxmlformats.org/officeDocument/2006/relationships/hyperlink" Target="https://ceur-ws.org/Vol-3685/" TargetMode="External"/><Relationship Id="rId21" Type="http://schemas.openxmlformats.org/officeDocument/2006/relationships/hyperlink" Target="https://doi.org/10.1145/3746252.3761471" TargetMode="External"/><Relationship Id="rId34" Type="http://schemas.openxmlformats.org/officeDocument/2006/relationships/hyperlink" Target="https://arxiv.org/abs/2005.11401" TargetMode="External"/><Relationship Id="rId42" Type="http://schemas.openxmlformats.org/officeDocument/2006/relationships/hyperlink" Target="https://ir.inflibnet.ac.in/handle/1944/2521" TargetMode="External"/><Relationship Id="rId47" Type="http://schemas.openxmlformats.org/officeDocument/2006/relationships/hyperlink" Target="https://doi.org/10.5703/1288284318042"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48550/arXiv.2312.10997" TargetMode="External"/><Relationship Id="rId11" Type="http://schemas.openxmlformats.org/officeDocument/2006/relationships/image" Target="media/image3.png"/><Relationship Id="rId24" Type="http://schemas.openxmlformats.org/officeDocument/2006/relationships/hyperlink" Target="https://doi.org/10.3390/bdcc9120320" TargetMode="External"/><Relationship Id="rId32" Type="http://schemas.openxmlformats.org/officeDocument/2006/relationships/hyperlink" Target="https://doi.org/10.59670/ml.v21is10.11858" TargetMode="External"/><Relationship Id="rId37" Type="http://schemas.openxmlformats.org/officeDocument/2006/relationships/hyperlink" Target="https://aua.am/" TargetMode="External"/><Relationship Id="rId40" Type="http://schemas.openxmlformats.org/officeDocument/2006/relationships/hyperlink" Target="https://arxiv.org/abs/2408.08067" TargetMode="External"/><Relationship Id="rId45" Type="http://schemas.openxmlformats.org/officeDocument/2006/relationships/hyperlink" Target="https://ceur-ws.org/Vol-3759/paper13.pdf"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arxiv.org/abs/2601.03979" TargetMode="External"/><Relationship Id="rId28" Type="http://schemas.openxmlformats.org/officeDocument/2006/relationships/hyperlink" Target="https://arxiv.org/abs/2305.14627" TargetMode="External"/><Relationship Id="rId36" Type="http://schemas.openxmlformats.org/officeDocument/2006/relationships/hyperlink" Target="https://doi.org/10.1162/tacl_a_00638"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16/j.nlp.2025.100179" TargetMode="External"/><Relationship Id="rId31" Type="http://schemas.openxmlformats.org/officeDocument/2006/relationships/hyperlink" Target="https://ai.google.dev/gemini-api/terms" TargetMode="External"/><Relationship Id="rId44" Type="http://schemas.openxmlformats.org/officeDocument/2006/relationships/hyperlink" Target="https://sc.judiciary.gov.ph/chief-justice-gesmundo-judiciary-e-library-to-use-ai-technology-to-improve-legal-researc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5860/ital.v44i2.17361" TargetMode="External"/><Relationship Id="rId27" Type="http://schemas.openxmlformats.org/officeDocument/2006/relationships/hyperlink" Target="https://arxiv.org/abs/2309.15217" TargetMode="External"/><Relationship Id="rId30" Type="http://schemas.openxmlformats.org/officeDocument/2006/relationships/hyperlink" Target="https://doi.org/10.1109/ccgrid64434.2025.00035" TargetMode="External"/><Relationship Id="rId35" Type="http://schemas.openxmlformats.org/officeDocument/2006/relationships/hyperlink" Target="https://doi.org/10.1016/j.caeai.2025.100417" TargetMode="External"/><Relationship Id="rId43" Type="http://schemas.openxmlformats.org/officeDocument/2006/relationships/hyperlink" Target="https://supabase.com/docs/guides/database/extensions/pgvector" TargetMode="External"/><Relationship Id="rId48"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doi.org/10.18653/v1/2023.findings-acl.679" TargetMode="External"/><Relationship Id="rId25" Type="http://schemas.openxmlformats.org/officeDocument/2006/relationships/hyperlink" Target="https://www.aiddata.org/publications/avoiding-data-graveyards-insights-from-data-producers-users-in-three-countries" TargetMode="External"/><Relationship Id="rId33" Type="http://schemas.openxmlformats.org/officeDocument/2006/relationships/hyperlink" Target="https://aaltodoc.aalto.fi/" TargetMode="External"/><Relationship Id="rId38" Type="http://schemas.openxmlformats.org/officeDocument/2006/relationships/hyperlink" Target="https://owasp.org/www-project-top-10-for-large-language-model-applications/" TargetMode="External"/><Relationship Id="rId46" Type="http://schemas.openxmlformats.org/officeDocument/2006/relationships/hyperlink" Target="https://arxiv.org/abs/2502.14898" TargetMode="External"/><Relationship Id="rId20" Type="http://schemas.openxmlformats.org/officeDocument/2006/relationships/hyperlink" Target="https://doi.org/10.1145/3644815.3644945" TargetMode="External"/><Relationship Id="rId41" Type="http://schemas.openxmlformats.org/officeDocument/2006/relationships/hyperlink" Target="https://doi.org/10.47772/IJRISS.2025.90700010"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X1f8bq/TFnDrX795iq6fq2hrA==">CgMxLjAaHwoBMBIaChgICVIUChJ0YWJsZS5ybDkzeWhtNWlic2MaHwoBMRIaChgICVIUChJ0YWJsZS5tbWhnZzB6N2VrZGsyDmguMzM3c3ZiYWFvaHhwMg5oLnc4aWRjcnpjOGszcjgAciExOEZYdVhQNUUwUWMwTjB5aXJOLThZMk1qajRoeHdfYUk=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0ADD85-9CAC-4642-81E8-3BFDC937E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11121</Words>
  <Characters>63396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Kazuha</cp:lastModifiedBy>
  <cp:revision>25</cp:revision>
  <dcterms:created xsi:type="dcterms:W3CDTF">2026-04-14T22:11:00Z</dcterms:created>
  <dcterms:modified xsi:type="dcterms:W3CDTF">2026-08-09T12:38:00Z</dcterms:modified>
</cp:coreProperties>
</file>