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pageBreakBefor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twelve (12) undergraduate theses CCSICT released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is limited to the twelve (12) undergraduate thesis documents released by CCSICT for this study on 7 September 2026. This proposal reserved fifty (50); the department released as many manuscripts as its office could prepare, so the evaluation corpus is a census of what was released rather than a proportional sample drawn by the researchers. The released set comprises five (5) BSCS Data Mining theses (2024), three (3) BSIS capstone projects (2025) and four (4) BLIS research projects (2026); the BSIT Web and Mobile Application Development and Network and Security tracks and the BSDSA program are unrepresented because no manuscript from them was released. The reduced volume and the three unrepresented categories are limitations of the evaluation rather than properties of the architecture, and they are carried through Sections 3.1.3 and 3.2.1.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777C8B62" w14:textId="1CC678D6" w:rsidR="00114F3B" w:rsidRDefault="00000000">
      <w:pPr>
        <w:pStyle w:val="Heading1"/>
        <w:keepNext w:val="0"/>
        <w:keepLines w:val="0"/>
        <w:pageBreakBefore/>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0</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0</wp:posOffset>
            </wp:positionH>
            <wp:positionV relativeFrom="paragraph">
              <wp:posOffset>514350</wp:posOffset>
            </wp:positionV>
            <wp:extent cx="5731510" cy="3615777"/>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510" cy="3615777"/>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et al.,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2A286282" w14:textId="77777777" w:rsidR="00114F3B" w:rsidRDefault="00000000">
      <w:pPr>
        <w:pageBreakBefore/>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@supabase/supabase-js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v2.110.8</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browser client for Supabase authentication, session refresh and multi-factor enrolment, on which the sign-in, sign-up and password-reset flows depend.</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 (Python client)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connect the API to the Redis server (redis 8.6.4 in the operations compose file) that backs rate limiting and the shared daily guest token allowance.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encrypt the storage backups written by scripts/storage_backup.py, using AES-GCM under a scrypt-derived key; pinned at v50.0.0 to clear CVE-2026-69247.</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verify and read the Supabase-issued JSON Web Tokens: the assurance level behind the privileged multi-factor check and the user identity behind per-user rate limits. Tokens are issued by Supabase Auth, never by the backend.</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write the advisory verdict summaries and follow-up answers of novelty scans and serve as the Ragas judge in the Objective 2 evaluation; title-page metadata extraction runs on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Trivy</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trivy-action v0.36.0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both container images on every push and fail the pipeline on a CRITICAL or HIGH vulnerability that already has a fix available.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Gitleaks</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gitleaks-action v2</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the full commit history for committed credentials on every push and pull request.</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pip-audit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installed at run time</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pinned Python dependency lock against the Python Packaging Advisory Database.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npm 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bundled with Node.js v24.18.0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production JavaScript dependency tree and fail on a high-severity advisory.</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 Its Gap column records the researchers’ readiness against each requirement: a component marked Feasible is already available on the development workstation, so nothing has to be procured before implementation begins.</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twelve (12) student manuscripts CCSICT released.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uses the twelve (12) undergraduate thesis documents CCSICT released from its archives on 7 September 2026, treated as a complete census of that release rather than a purposive sample, because the department selected which manuscripts to release and provided no others. The released dataset includes both physical manuscript copies and digital soft copies and covers three categories of the CCSICT academic catalog: the BSCS Data Mining specialization (five theses, 2024), and the BSIS (three, 2025) and BLIS (four, 2026) programs, which carry no specialization and are therefore identified by program code. The Web and Mobile Application Development and Network and Security specializations and the BSDSA program are unrepresented, because no manuscript from them was released.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 Because the released corpus covers three of the six catalog categories, each of the forty queries also declares its corpus coverage, recording whether a released manuscript can answer it at all. Four strata are distinguished. A query is present when a released manuscript answers it; absent_topic when the programs it draws on were released and none of their manuscripts covers the subject; absent_unreleased when its own wording scopes it to a program or specialization the department did not release, so that no manuscript could have answered it whatever it contained; and absent_by_design for the three (3) negative controls, which are absent by construction. The two absences are reported separately because they are different findings about the archive: one would close if the department released more of it, the other would not. Apart from the negative controls the stratum is a judgement about content, taken when the ground truth is drafted and validated together with it, because a query about CCSICT theses in general cannot be classified from the catalog category it was written to probe. Where the corpus holds no evidence, an explicit statement to that effect is the correct response rather than a wrong answer, so Answer Correctness is interpreted on the queries the corpus can answer and every stratum is reported separately as well as pooled.</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0</wp:posOffset>
            </wp:positionH>
            <wp:positionV relativeFrom="paragraph">
              <wp:posOffset>504825</wp:posOffset>
            </wp:positionV>
            <wp:extent cx="5731510" cy="2678250"/>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731510" cy="2678250"/>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 The single exception is a verbatim re-submission: when every chunk of an uploaded manuscript already matches an archived passage at 99.9% cosine similarity or above, that manuscript is already indexed under an existing record, so ingestion is refused and reports the archived thesis it duplicates rather than creating a second record for the same text. Every outcome short of verbatim is indexed with its flag and left to faculty judgment, including the highest overlap observed during evaluation (96.30% matched-chunk coverage at 94.94% highest passage similarity, between two distinct theses studying the same library).</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Answer Correctness and Context Precision are reference-based, since both consume the faculty ground truth directly, while Faithfulness is reference-free and is scored against the retrieved passages alone. Because the baseline pathway has no retriever, it returns no retrieved contexts to rank, so Context Precision cannot be computed for it and will be reported for the RAG pathway alone. The Ragas metrics are themselves produced by a language model acting as judge. In this study the judge is Gemini 3.5 Flash-Lite scoring answers generated by Gemini 3.6 Flash, and the semantic component of Answer Correctness is embedded with Gemini Embedding (models/gemini-embedding-001), the same model the retriever indexes with. Judge and candidate therefore belong to one model family, and the judge shares the retriever embedding space. This is a limitation of the automated scores rather than a property of the architecture, and it is disclosed here so the reported figures are read as same-family automated judgements; anchoring them against a human-scored subsample remains open.</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Pylint for Python and ESLint for React to ensure code modularity, adherence to standards, and reduced technical debt. Pylint scores are reported against the configuration committed at rag-thesis-backend/.pylintrc, which raises the line-length limit to 120 characters, excludes the test suite from analysis, and disables fourteen message families including the docstring and function-size checks. The reported score is therefore comparable only against that profile.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Two reporting rules follow from this. First, a no-evidence notice or a guard refusal is a correct system response rather than a research answer, yet it scores zero on Faithfulness and Context Precision while still carrying retrieved contexts; the three negative-control queries are expected to behave exactly this way. The RAG diagnostics are therefore reported for answers and for notices separately as well as pooled, and the separated figures are the ones interpreted as measures of grounding and retrieval quality. Second, because a p-value states only whether a difference is detectable at the achieved sample size, every reported comparison also carries the mean paired difference with a 95% confidence interval and a standardized effect size, so the magnitude of any difference is reported alongside its significance.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In either branch the 95% confidence interval accompanying the mean paired difference will be a two-sided Student’s t interval, and the standardized effect size reported with it will be the one matching the test actually applied. A significance level of 0.05 will be used as the strict basis for decision-making. This sequence will be applied to Answer Correctness alone, which is the only metric both pathways can be scored on, and will be computed within each corpus coverage stratum defined in Section 3.2.1 as well as across the pooled pairs; Faithfulness and Context Precision remain RAG-only diagnostics and receive no paired test. Each test will be reported with the number of pairs it was computed on, and the size of each stratum will follow from the panel’s validation of the ground truth rather than being fixed in advance. The comparison on the stratum whose queries a released manuscript can answer, designated present in Section 3.2.1, will be fixed in advance as the accuracy claim, since it is the only stratum with a corpus-derived ground truth to be accurate against; the pooled comparison and the remaining strata will be reported in full but treated as secondary, being drawn from the same dataset at an uncorrected significance level. Where a stratum yields fewer than three complete pairs, or where its paired differences are identical, no test will be computed and the stratum will be reported descriptively, with the mean paired difference and the number of pairs given in place of an interval and an effect size. A query that the provider never processed, after a fixed schedule of retries has been exhausted, will be excluded from the paired test and from the reported means rather than scored as a failure, and every such exclusion will be declared; a no-evidence notice or a guard refusal is not an outage of this kind and will be scored as returned.</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0</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15631AA2" w14:textId="52481362" w:rsidR="00114F3B" w:rsidRDefault="00000000">
      <w:pPr>
        <w:pageBreakBefore/>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R. V. K., Lund, B. D., Mannuru, N. R., Karedla, S. P., Mohammed, Y., Kolapudi, S. T., &amp; Mannuru, A.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C. J. O., Tual, D.-X., Paglinawan, Z. B., Naparan, J. A., &amp; Facunla, H. L. (2023). Exploring students' utilization of Online Public Access Catalog in the learning common. </w:t>
      </w:r>
      <w:r>
        <w:rPr>
          <w:rFonts w:ascii="Times New Roman" w:eastAsia="Times New Roman" w:hAnsi="Times New Roman" w:cs="Times New Roman"/>
          <w:i/>
          <w:iCs/>
          <w:sz w:val="24"/>
          <w:szCs w:val="24"/>
        </w:rPr>
        <w:t xml:space="preserve">International Journal of Science and Applied Information Technology, 12</w:t>
      </w:r>
      <w:r>
        <w:rPr>
          <w:rFonts w:ascii="Times New Roman" w:eastAsia="Times New Roman" w:hAnsi="Times New Roman" w:cs="Times New Roman"/>
          <w:sz w:val="24"/>
          <w:szCs w:val="24"/>
        </w:rPr>
        <w:t xml:space="preserve">(4), 29–37.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Gao, Y., Xiong, Y., Gao, X., Jia, K., Pan, J., Bi, Y., Dai, Y., Sun, J., Wang, M., &amp; Wang, H.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Siebenschuh, C., Brace, A., Wells, A., Hsu, B., Hippe, K., Setty, P., Ajith, A., Pauloski, J. G., Sastry, V., Foreman, S., Zheng, H., Ma, H., Kale, B., Chia, N., Gibbs, T., Papka, M., Brettin, T., Alexander, F., . . . Ramanathan, A.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 xml:space="preserve">Proceedings of the Platform for Advanced Scientific Computing Conference (PASC 2025)</w:t>
      </w:r>
      <w:proofErr w:type="spellStart"/>
      <w:r>
        <w:rPr>
          <w:rFonts w:ascii="Times New Roman" w:eastAsia="Times New Roman" w:hAnsi="Times New Roman" w:cs="Times New Roman"/>
          <w:i/>
          <w:iCs/>
          <w:sz w:val="24"/>
          <w:szCs w:val="24"/>
        </w:rPr>
        <w:t xml:space="preserve"/>
      </w:r>
      <w:proofErr w:type="spellEnd"/>
      <w:r>
        <w:rPr>
          <w:rFonts w:ascii="Times New Roman" w:eastAsia="Times New Roman" w:hAnsi="Times New Roman" w:cs="Times New Roman"/>
          <w:i/>
          <w:iCs/>
          <w:sz w:val="24"/>
          <w:szCs w:val="24"/>
        </w:rPr>
        <w:t xml:space="preserve"/>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 xml:space="preserve">https://doi.org/10.1145/3732775.3733586</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Wong, L., Ali, A., Xiong, R., Shen, S. Z., Kim, Y., &amp; Agrawal, M.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45/3732775.3733586"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