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undergraduate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2 (models/gemini-embedding-2).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6838950" cy="3542556"/>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838950" cy="3542556"/>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shared store backing rate limiting and short-lived operational state.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cryptographic primitives used for token and secret handling.</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encode and verify the JSON Web Tokens used for authenticated sessions.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 2</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models/gemini-embedding-2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bounded verdict and metadata-extraction work that does not require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for this study will come directly from the local archives of the College of Computing Studies, Information and Communication Technology (CCSICT). The data will only include past undergraduate thesis projects from the department, using both physical hardbound copies and digital files.</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will utilize purposive sampling in selecting fifty (50) undergraduate thesis documents from the CCSICT archives. The selected dataset will include both physical manuscript copies and digital soft copies, ensuring representation across various academic tracks such as Data Mining, Web Development, and Network Security. This approach ensures that the evaluation covers diverse technical vocabularies relevant to the domain.</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2,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2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conduct novelty scanning, and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These Ragas metrics are reference-based rather than reference-free, since Answer Correctness consumes the faculty ground truth directly. Because the baseline pathway has no retriever, it returns no retrieved contexts to rank, so Context Precision cannot be computed for it and will be reported for the RAG pathway alone.</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memory leaks,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w:t>
      </w:r>
      <w:proofErr w:type="spellStart"/>
      <w:r>
        <w:rPr>
          <w:rFonts w:ascii="Times New Roman" w:eastAsia="Times New Roman" w:hAnsi="Times New Roman" w:cs="Times New Roman"/>
          <w:sz w:val="24"/>
          <w:szCs w:val="24"/>
        </w:rPr>
        <w:t>Pylint</w:t>
      </w:r>
      <w:proofErr w:type="spellEnd"/>
      <w:r>
        <w:rPr>
          <w:rFonts w:ascii="Times New Roman" w:eastAsia="Times New Roman" w:hAnsi="Times New Roman" w:cs="Times New Roman"/>
          <w:sz w:val="24"/>
          <w:szCs w:val="24"/>
        </w:rPr>
        <w:t xml:space="preserve"> for Python and </w:t>
      </w:r>
      <w:proofErr w:type="spellStart"/>
      <w:r>
        <w:rPr>
          <w:rFonts w:ascii="Times New Roman" w:eastAsia="Times New Roman" w:hAnsi="Times New Roman" w:cs="Times New Roman"/>
          <w:sz w:val="24"/>
          <w:szCs w:val="24"/>
        </w:rPr>
        <w:t>ESLint</w:t>
      </w:r>
      <w:proofErr w:type="spellEnd"/>
      <w:r>
        <w:rPr>
          <w:rFonts w:ascii="Times New Roman" w:eastAsia="Times New Roman" w:hAnsi="Times New Roman" w:cs="Times New Roman"/>
          <w:sz w:val="24"/>
          <w:szCs w:val="24"/>
        </w:rPr>
        <w:t xml:space="preserve"> for React to ensure code modularity, adherence to standards, and reduced technical debt.</w:t>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First, the researchers will obtain formal written approval from the CCSICT Department Chair and the University Librarian prior to accessing and digitizing any thesis manuscript from the college archives.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2,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7015163" cy="3791460"/>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7015163" cy="3791460"/>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