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twelve (12) undergraduate theses CCSICT released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is limited to the twelve (12) undergraduate thesis documents released by CCSICT for this study on 7 September 2026. This proposal reserved fifty (50); the department released as many manuscripts as its office could prepare, so the evaluation corpus is a census of what was released rather than a proportional sample drawn by the researchers. The released set comprises five (5) BSCS Data Mining theses (2024), three (3) BSIS capstone projects (2025) and four (4) BLIS research projects (2026); the BSIT Web and Mobile Application Development and Network and Security tracks and the BSDSA program are unrepresented because no manuscript from them was released. The reduced volume and the three unrepresented categories are limitations of the evaluation rather than properties of the architecture, and they are carried through Sections 3.1.3 and 3.2.1.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twelve (12) student manuscripts CCSICT released.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uses the twelve (12) undergraduate thesis documents CCSICT released from its archives on 7 September 2026, treated as a complete census of that release rather than a purposive sample, because the department selected which manuscripts to release and provided no others. The released dataset includes both physical manuscript copies and digital soft copies and covers three categories of the CCSICT academic catalog: the BSCS Data Mining specialization (five theses, 2024), and the BSIS (three, 2025) and BLIS (four, 2026) programs, which carry no specialization and are therefore identified by program code. The Web and Mobile Application Development and Network and Security specializations and the BSDSA program are unrepresented, because no manuscript from them was released.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 Because the released corpus covers three of the six catalog categories, each of the forty queries also declares its corpus coverage, recording whether a released manuscript can answer it at all. Four strata are distinguished. A query is present when a released manuscript answers it; absent_topic when the programs it draws on were released and none of their manuscripts covers the subject; absent_unreleased when its own wording scopes it to a program or specialization the department did not release, so that no manuscript could have answered it whatever it contained; and absent_by_design for the three (3) negative controls, which are absent by construction. The two absences are reported separately because they are different findings about the archive: one would close if the department released more of it, the other would not. Apart from the negative controls the stratum is a judgement about content, taken when the ground truth is drafted and validated together with it, because a query about CCSICT theses in general cannot be classified from the catalog category it was written to probe. Where the corpus holds no evidence, an explicit statement to that effect is the correct response rather than a wrong answer, so Answer Correctness is interpreted on the queries the corpus can answer and every stratum is reported separately as well as pooled.</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800-token chunk size with a 100-token overlap to preserve contextual boundaries. A chunk-size sweep over the released corpus found retrieval quality statistically indistinguishable across 400 to 1,000 tokens, so 800 is adopted as a standard size within that stable range rather than as a tuned optimum.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 The single exception is a verbatim re-submission: when every chunk of an uploaded manuscript already matches an archived passage at 99.9% cosine similarity or above, that manuscript is already indexed under an existing record, so ingestion is refused and reports the archived thesis it duplicates rather than creating a second record for the same text. Every outcome short of verbatim is indexed with its flag and left to faculty judgment, including the highest overlap observed during evaluation (96.30% matched-chunk coverage at 94.94% highest passage similarity, between two distinct theses studying the same library).</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In either branch the 95% confidence interval accompanying the mean paired difference will be a two-sided Student’s t interval, and the standardized effect size reported with it will be the one matching the test actually applied. A significance level of 0.05 will be used as the strict basis for decision-making. This sequence will be applied to Answer Correctness alone, which is the only metric both pathways can be scored on, and will be computed within each corpus coverage stratum defined in Section 3.2.1 as well as across the pooled pairs; Faithfulness and Context Precision remain RAG-only diagnostics and receive no paired test. Each test will be reported with the number of pairs it was computed on, and the size of each stratum will follow from the panel’s validation of the ground truth rather than being fixed in advance. The comparison on the stratum whose queries a released manuscript can answer, designated present in Section 3.2.1, will be fixed in advance as the accuracy claim, since it is the only stratum with a corpus-derived ground truth to be accurate against; the pooled comparison and the remaining strata will be reported in full but treated as secondary, being drawn from the same dataset at an uncorrected significance level. Where a stratum yields fewer than three complete pairs, or where its paired differences are identical, no test will be computed and the stratum will be reported descriptively, with the mean paired difference and the number of pairs given in place of an interval and an effect size. A query that the provider never processed, after a fixed schedule of retries has been exhausted, will be excluded from the paired test and from the reported means rather than scored as a failure, and every such exclusion will be declared; a no-evidence notice or a guard refusal is not an outage of this kind and will be scored as returned.</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