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fifty (50) undergraduate theses selected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will be limited to fifty (50) thesis documents obtained from the CCSICT library, focusing only on selected undergraduate studies. This sample size was purposely determined based on the volume of accessible and complete undergraduate manuscripts currently available in the CCSICT archives, ensuring proportional representation across the department's academic tracks.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3AF89FF1"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6F1CA735" w14:textId="77777777" w:rsidR="00114F3B" w:rsidRDefault="00114F3B">
      <w:pPr>
        <w:spacing w:before="240" w:line="480" w:lineRule="auto"/>
        <w:jc w:val="both"/>
        <w:rPr>
          <w:rFonts w:ascii="Times New Roman" w:eastAsia="Times New Roman" w:hAnsi="Times New Roman" w:cs="Times New Roman"/>
          <w:b/>
          <w:bCs/>
          <w:sz w:val="24"/>
          <w:szCs w:val="24"/>
        </w:rPr>
      </w:pPr>
    </w:p>
    <w:p w14:paraId="3947811C" w14:textId="77777777" w:rsidR="00114F3B" w:rsidRDefault="00114F3B">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30D589" w14:textId="77777777" w:rsidR="00114F3B" w:rsidRDefault="00114F3B">
      <w:pPr>
        <w:pStyle w:val="Heading1"/>
        <w:keepNext w:val="0"/>
        <w:keepLines w:val="0"/>
        <w:spacing w:before="0" w:after="0" w:line="480" w:lineRule="auto"/>
        <w:rPr>
          <w:rFonts w:ascii="Times New Roman" w:eastAsia="Times New Roman" w:hAnsi="Times New Roman" w:cs="Times New Roman"/>
          <w:b/>
          <w:bCs/>
          <w:sz w:val="24"/>
          <w:szCs w:val="24"/>
        </w:rPr>
      </w:pPr>
    </w:p>
    <w:p w14:paraId="00A8370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3AEC35F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1D5A99E"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1EA5AFF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8EB21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07B972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071A059"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53A462D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BD812A"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B14C71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A7831AF"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2805A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8122FF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516716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77C8B62" w14:textId="1CC678D6" w:rsidR="00114F3B" w:rsidRDefault="00000000">
      <w:pPr>
        <w:pStyle w:val="Heading1"/>
        <w:keepNext w:val="0"/>
        <w:keepLines w:val="0"/>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(models/gemini-embedding-001).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-519112</wp:posOffset>
            </wp:positionH>
            <wp:positionV relativeFrom="paragraph">
              <wp:posOffset>523875</wp:posOffset>
            </wp:positionV>
            <wp:extent cx="5731510" cy="2462758"/>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2462758"/>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-600074</wp:posOffset>
            </wp:positionH>
            <wp:positionV relativeFrom="paragraph">
              <wp:posOffset>514350</wp:posOffset>
            </wp:positionV>
            <wp:extent cx="6929438" cy="4362264"/>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929438" cy="4362264"/>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This guarantee is bounded by the provider actually serving each call: the architecture permits generation to be routed through an OpenAI-compatible gateway without changing the model, and a third-party operator is not covered by those terms. The direct Google route will therefore be used for the formal evaluation and for any processing of the governed corpus, and the release fingerprint will record which route produced each result. Embedding calls are never routed and reach Google in every configuration.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et al.,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09B892E4"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08E7ED41" w14:textId="77777777" w:rsidR="00114F3B" w:rsidRDefault="00114F3B">
      <w:pPr>
        <w:spacing w:before="240" w:line="480" w:lineRule="auto"/>
        <w:jc w:val="both"/>
        <w:rPr>
          <w:rFonts w:ascii="Times New Roman" w:eastAsia="Times New Roman" w:hAnsi="Times New Roman" w:cs="Times New Roman"/>
          <w:b/>
          <w:bCs/>
          <w:sz w:val="24"/>
          <w:szCs w:val="24"/>
        </w:rPr>
      </w:pPr>
    </w:p>
    <w:p w14:paraId="44858179" w14:textId="77777777" w:rsidR="00114F3B" w:rsidRDefault="00114F3B">
      <w:pPr>
        <w:spacing w:line="480" w:lineRule="auto"/>
        <w:rPr>
          <w:rFonts w:ascii="Times New Roman" w:eastAsia="Times New Roman" w:hAnsi="Times New Roman" w:cs="Times New Roman"/>
          <w:b/>
          <w:bCs/>
          <w:sz w:val="24"/>
          <w:szCs w:val="24"/>
        </w:rPr>
      </w:pPr>
    </w:p>
    <w:p w14:paraId="50C4D4E6" w14:textId="77777777" w:rsidR="00114F3B" w:rsidRDefault="00114F3B">
      <w:pPr>
        <w:spacing w:line="480" w:lineRule="auto"/>
        <w:rPr>
          <w:rFonts w:ascii="Times New Roman" w:eastAsia="Times New Roman" w:hAnsi="Times New Roman" w:cs="Times New Roman"/>
          <w:b/>
          <w:bCs/>
          <w:sz w:val="24"/>
          <w:szCs w:val="24"/>
        </w:rPr>
      </w:pPr>
    </w:p>
    <w:p w14:paraId="2A286282"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shared store backing rate limiting and short-lived operational state.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cryptographic primitives used for token and secret handling.</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encode and verify the JSON Web Tokens used for authenticated sessions.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models/gemini-embedding-001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bounded verdict and metadata-extraction work that does not require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langchain-openai</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v1.4.1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OpenAI-compatible chat client used only when generation is routed through a gateway; embeddings are never routed through it.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fifty (50) student manuscripts.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will utilize purposive sampling in selecting fifty (50) undergraduate thesis documents from the CCSICT archives. The selected dataset will include both physical manuscript copies and digital soft copies, ensuring representation across the CCSICT academic catalog: the Data Mining, Web and Mobile Application Development, and Network and Security specializations, together with the BSDSA, BSIS and BLIS programs, which carry no specialization and are therefore identified by program code.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 The fingerprint will additionally record which provider served the generation calls, so that a reported result cannot be attributed to the wrong route.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-620549</wp:posOffset>
            </wp:positionH>
            <wp:positionV relativeFrom="paragraph">
              <wp:posOffset>504825</wp:posOffset>
            </wp:positionV>
            <wp:extent cx="7067550" cy="3559522"/>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7067550" cy="3559522"/>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These Ragas metrics are reference-based rather than reference-free, since Answer Correctness consumes the faculty ground truth directly. Because the baseline pathway has no retriever, it returns no retrieved contexts to rank, so Context Precision cannot be computed for it and will be reported for the RAG pathway alone.</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Pylint for Python and ESLint for React to ensure code modularity, adherence to standards, and reduced technical debt. Pylint scores are reported against the configuration committed at rag-thesis-backend/.pylintrc, which raises the line-length limit to 120 characters, excludes the test suite from analysis, and disables fourteen message families including the docstring and function-size checks. The reported score is therefore comparable only against that profile.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 Where the deployment routes generation through a third-party gateway rather than calling Google directly, that operator will be treated as a processor of institutional data and disclosed to the privacy review before any governed manuscript is processed through it.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-695324</wp:posOffset>
            </wp:positionH>
            <wp:positionV relativeFrom="paragraph">
              <wp:posOffset>609600</wp:posOffset>
            </wp:positionV>
            <wp:extent cx="5731510" cy="4878607"/>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31510" cy="4878607"/>
                    </a:xfrm>
                    <a:prstGeom prst="rect">
                      <a:avLst/>
                    </a:prstGeom>
                    <a:ln/>
                  </pic:spPr>
                </pic:pic>
              </a:graphicData>
            </a:graphic>
          </wp:anchor>
        </w:drawing>
      </w:r>
    </w:p>
    <w:p w14:paraId="460B67F4" w14:textId="77777777" w:rsidR="00114F3B" w:rsidRDefault="00114F3B">
      <w:pPr>
        <w:spacing w:before="240" w:line="480" w:lineRule="auto"/>
        <w:jc w:val="both"/>
        <w:rPr>
          <w:rFonts w:ascii="Times New Roman" w:eastAsia="Times New Roman" w:hAnsi="Times New Roman" w:cs="Times New Roman"/>
          <w:b/>
          <w:bCs/>
          <w:sz w:val="24"/>
          <w:szCs w:val="24"/>
        </w:rPr>
      </w:pPr>
    </w:p>
    <w:p w14:paraId="3E9FD960" w14:textId="77777777" w:rsidR="00114F3B" w:rsidRDefault="00114F3B">
      <w:pPr>
        <w:spacing w:before="240" w:line="480" w:lineRule="auto"/>
        <w:jc w:val="both"/>
        <w:rPr>
          <w:rFonts w:ascii="Times New Roman" w:eastAsia="Times New Roman" w:hAnsi="Times New Roman" w:cs="Times New Roman"/>
          <w:b/>
          <w:bCs/>
          <w:sz w:val="24"/>
          <w:szCs w:val="24"/>
        </w:rPr>
      </w:pPr>
    </w:p>
    <w:p w14:paraId="15631AA2" w14:textId="5248136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R. V. K., et al.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C. J. O., et al. (2023). Exploring students' utilization of Online Public Access Catalog in the learning commons. </w:t>
      </w:r>
      <w:r>
        <w:rPr>
          <w:rFonts w:ascii="Times New Roman" w:eastAsia="Times New Roman" w:hAnsi="Times New Roman" w:cs="Times New Roman"/>
          <w:i/>
          <w:iCs/>
          <w:sz w:val="24"/>
          <w:szCs w:val="24"/>
        </w:rPr>
        <w:t>International Journal of Science and Advanced Information Technology, 12</w:t>
      </w:r>
      <w:r>
        <w:rPr>
          <w:rFonts w:ascii="Times New Roman" w:eastAsia="Times New Roman" w:hAnsi="Times New Roman" w:cs="Times New Roman"/>
          <w:sz w:val="24"/>
          <w:szCs w:val="24"/>
        </w:rPr>
        <w:t>(4).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Y., Xiong, Y., Dibia, V., et al.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et al.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Proceedings of the 2025 IEEE/ACM International Symposium on Cluster, Cloud and Internet Computing (</w:t>
      </w:r>
      <w:proofErr w:type="spellStart"/>
      <w:r>
        <w:rPr>
          <w:rFonts w:ascii="Times New Roman" w:eastAsia="Times New Roman" w:hAnsi="Times New Roman" w:cs="Times New Roman"/>
          <w:i/>
          <w:iCs/>
          <w:sz w:val="24"/>
          <w:szCs w:val="24"/>
        </w:rPr>
        <w:t>CCGrid</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https://doi.org/10.1109/ccgrid64434.2025.00035</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Wong, K., et al.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09/ccgrid64434.2025.00035"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