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57"/>
          <w:sz w:val="48"/>
        </w:rPr>
        <w:t>PropertyOS Alpha — Test Strategy &amp; Plan</w:t>
      </w:r>
    </w:p>
    <w:p>
      <w:r>
        <w:rPr>
          <w:i/>
          <w:color w:val="555555"/>
          <w:sz w:val="21"/>
        </w:rPr>
        <w:t>KaelVaren · PropertyOS · Private Alpha</w:t>
      </w:r>
    </w:p>
    <w:p>
      <w:r>
        <w:rPr>
          <w:i w:val="0"/>
          <w:color w:val="555555"/>
          <w:sz w:val="21"/>
        </w:rPr>
        <w:t>Prepared by: Test Manager (Claude, on behalf of Karl Horvath) · 27 July 2026</w:t>
      </w:r>
    </w:p>
    <w:p>
      <w:r>
        <w:rPr>
          <w:i w:val="0"/>
          <w:color w:val="555555"/>
          <w:sz w:val="21"/>
        </w:rPr>
        <w:t>Reference: PropertyOS_Alpha_Build_Specification.md</w:t>
      </w:r>
    </w:p>
    <w:p>
      <w:pPr>
        <w:pStyle w:val="Heading1"/>
      </w:pPr>
      <w:r>
        <w:t>1. Purpose</w:t>
      </w:r>
    </w:p>
    <w:p>
      <w:r>
        <w:rPr>
          <w:b w:val="0"/>
          <w:i w:val="0"/>
        </w:rPr>
        <w:t>This document sets out how the PropertyOS Alpha will be tested from the point Codex delivers a working build through to the go/no-go decision on private validation with Karl's own portfolio, and subsequently with two or three trusted landlords. It translates the Alpha Build Specification into a testable strategy: what gets tested, in what order, against what evidence, and what “done” means at each milestone.</w:t>
      </w:r>
    </w:p>
    <w:p>
      <w:r>
        <w:rPr>
          <w:b w:val="0"/>
          <w:i w:val="0"/>
        </w:rPr>
        <w:t>It is a companion to the separate Test Case Tracker (PropertyOS_Alpha_Test_Cases.xlsx), which holds the executable test cases referenced throughout this plan.</w:t>
      </w:r>
    </w:p>
    <w:p>
      <w:pPr>
        <w:pStyle w:val="Heading1"/>
      </w:pPr>
      <w:r>
        <w:t>2. Objectives</w:t>
      </w:r>
    </w:p>
    <w:p>
      <w:r>
        <w:rPr>
          <w:b w:val="0"/>
          <w:i w:val="0"/>
        </w:rPr>
        <w:t>Testing exists to prove the ten Alpha success criteria in the Build Specification (section 2), restated here as test objectives:</w:t>
      </w:r>
    </w:p>
    <w:p>
      <w:pPr>
        <w:pStyle w:val="ListNumber"/>
      </w:pPr>
      <w:r>
        <w:t>A landlord can sign in securely and only see their own organisation's data.</w:t>
      </w:r>
    </w:p>
    <w:p>
      <w:pPr>
        <w:pStyle w:val="ListNumber"/>
      </w:pPr>
      <w:r>
        <w:t>Properties can be added and maintained accurately.</w:t>
      </w:r>
    </w:p>
    <w:p>
      <w:pPr>
        <w:pStyle w:val="ListNumber"/>
      </w:pPr>
      <w:r>
        <w:t>A tenancy can be recorded without capturing identity documents, bank details or Right to Rent evidence.</w:t>
      </w:r>
    </w:p>
    <w:p>
      <w:pPr>
        <w:pStyle w:val="ListNumber"/>
      </w:pPr>
      <w:r>
        <w:t>A compliance record and its supporting document can be added and stored privately.</w:t>
      </w:r>
    </w:p>
    <w:p>
      <w:pPr>
        <w:pStyle w:val="ListNumber"/>
      </w:pPr>
      <w:r>
        <w:t>Due, expired and missing compliance statuses are calculated consistently and correctly.</w:t>
      </w:r>
    </w:p>
    <w:p>
      <w:pPr>
        <w:pStyle w:val="ListNumber"/>
      </w:pPr>
      <w:r>
        <w:t>Today produces a correct, prioritised recommended action.</w:t>
      </w:r>
    </w:p>
    <w:p>
      <w:pPr>
        <w:pStyle w:val="ListNumber"/>
      </w:pPr>
      <w:r>
        <w:t>That action can be completed.</w:t>
      </w:r>
    </w:p>
    <w:p>
      <w:pPr>
        <w:pStyle w:val="ListNumber"/>
      </w:pPr>
      <w:r>
        <w:t>Completion is reflected in the property timeline.</w:t>
      </w:r>
    </w:p>
    <w:p>
      <w:pPr>
        <w:pStyle w:val="ListNumber"/>
      </w:pPr>
      <w:r>
        <w:t>A maintenance issue can be logged and tracked to resolution.</w:t>
      </w:r>
    </w:p>
    <w:p>
      <w:pPr>
        <w:pStyle w:val="ListNumber"/>
      </w:pPr>
      <w:r>
        <w:t>Structured data can be exported cleanly, organisation-scoped.</w:t>
      </w:r>
    </w:p>
    <w:p>
      <w:r>
        <w:rPr>
          <w:b w:val="0"/>
          <w:i w:val="0"/>
        </w:rPr>
        <w:t>A secondary objective is proving the non-functional and safety boundaries that make the product trustworthy: row-level security, data minimisation, the AI extraction boundary, and UK-specific compliance correctness (dates, currency, terminology, category set).</w:t>
      </w:r>
    </w:p>
    <w:p>
      <w:pPr>
        <w:pStyle w:val="Heading1"/>
      </w:pPr>
      <w:r>
        <w:t>3. Scope</w:t>
      </w:r>
    </w:p>
    <w:p>
      <w:pPr>
        <w:pStyle w:val="Heading2"/>
      </w:pPr>
      <w:r>
        <w:t>3.1 In scope for Alpha testing</w:t>
      </w:r>
    </w:p>
    <w:p>
      <w:pPr>
        <w:pStyle w:val="ListBullet"/>
      </w:pPr>
      <w:r>
        <w:t>Identity &amp; account: sign-in/out, roles (owner, admin, member, viewer), organisation isolation</w:t>
      </w:r>
    </w:p>
    <w:p>
      <w:pPr>
        <w:pStyle w:val="ListBullet"/>
      </w:pPr>
      <w:r>
        <w:t>Properties: create, view, edit, archive; portfolio list and detail</w:t>
      </w:r>
    </w:p>
    <w:p>
      <w:pPr>
        <w:pStyle w:val="ListBullet"/>
      </w:pPr>
      <w:r>
        <w:t>Tenancies: current/historical dates, rent, payment day, tenant display name/initials, data-minimisation checks</w:t>
      </w:r>
    </w:p>
    <w:p>
      <w:pPr>
        <w:pStyle w:val="ListBullet"/>
      </w:pPr>
      <w:r>
        <w:t>Compliance: requirement catalogue, records, all six statuses, dates, source document linkage</w:t>
      </w:r>
    </w:p>
    <w:p>
      <w:pPr>
        <w:pStyle w:val="ListBullet"/>
      </w:pPr>
      <w:r>
        <w:t>Documents: private upload/download, association, manual classification, processing/confirmation status</w:t>
      </w:r>
    </w:p>
    <w:p>
      <w:pPr>
        <w:pStyle w:val="ListBullet"/>
      </w:pPr>
      <w:r>
        <w:t>Tasks: manual and system-generated, priority, due date, complete/cancel/reopen</w:t>
      </w:r>
    </w:p>
    <w:p>
      <w:pPr>
        <w:pStyle w:val="ListBullet"/>
      </w:pPr>
      <w:r>
        <w:t>Maintenance: issue, priority, status, contractor, cost estimate, document association</w:t>
      </w:r>
    </w:p>
    <w:p>
      <w:pPr>
        <w:pStyle w:val="ListBullet"/>
      </w:pPr>
      <w:r>
        <w:t>Timeline: append-only event correctness, no use as source of current state</w:t>
      </w:r>
    </w:p>
    <w:p>
      <w:pPr>
        <w:pStyle w:val="ListBullet"/>
      </w:pPr>
      <w:r>
        <w:t>Today: counts, due-within-45-days logic, expired/missing, overdue/upcoming tasks, high-priority maintenance, tenancy-ending windows, recommendation ordering</w:t>
      </w:r>
    </w:p>
    <w:p>
      <w:pPr>
        <w:pStyle w:val="ListBullet"/>
      </w:pPr>
      <w:r>
        <w:t>Export: organisation-scoped JSON/CSV, document links exported separately</w:t>
      </w:r>
    </w:p>
    <w:p>
      <w:pPr>
        <w:pStyle w:val="ListBullet"/>
      </w:pPr>
      <w:r>
        <w:t>Security: RLS cross-organisation isolation, storage path isolation, secret handling</w:t>
      </w:r>
    </w:p>
    <w:p>
      <w:pPr>
        <w:pStyle w:val="ListBullet"/>
      </w:pPr>
      <w:r>
        <w:t>AI boundary (Milestone 4 only): suggestion-only behaviour, confidence display, no silent overwrite, no cross-org leakage</w:t>
      </w:r>
    </w:p>
    <w:p>
      <w:pPr>
        <w:pStyle w:val="ListBullet"/>
      </w:pPr>
      <w:r>
        <w:t>Non-functional: UK locale (dates, currency, terminology), keyboard navigation, common responsive widths, error messages that don't leak internals</w:t>
      </w:r>
    </w:p>
    <w:p>
      <w:pPr>
        <w:pStyle w:val="Heading2"/>
      </w:pPr>
      <w:r>
        <w:t>3.2 Explicitly out of scope</w:t>
      </w:r>
    </w:p>
    <w:p>
      <w:r>
        <w:rPr>
          <w:b w:val="0"/>
          <w:i w:val="0"/>
        </w:rPr>
        <w:t>Per Build Specification section 5, the following are not tested because they are not built in Alpha: full rent/arrears accounting, open banking, tenant/contractor/agent portals, TradeOS/TradeCircle integration, professional fire-risk-assessment authoring, automated legal conclusions, unconfirmed AI updates, native mobile apps, subscription billing, government/council/regulator integrations, and complex reporting/workflow builders.</w:t>
      </w:r>
    </w:p>
    <w:p>
      <w:pPr>
        <w:pStyle w:val="Heading1"/>
      </w:pPr>
      <w:r>
        <w:t>4. Test Levels &amp; Types</w:t>
      </w:r>
    </w:p>
    <w:tbl>
      <w:tblPr>
        <w:tblW w:type="auto" w:w="0"/>
        <w:jc w:val="center"/>
        <w:tblLayout w:type="fixed"/>
        <w:tblLook w:firstColumn="1" w:firstRow="1" w:lastColumn="0" w:lastRow="0" w:noHBand="0" w:noVBand="1" w:val="04A0"/>
      </w:tblPr>
      <w:tblGrid>
        <w:gridCol w:w="3213"/>
        <w:gridCol w:w="3213"/>
        <w:gridCol w:w="3213"/>
      </w:tblGrid>
      <w:tr>
        <w:tc>
          <w:tcPr>
            <w:tcW w:type="dxa" w:w="2551"/>
            <w:shd w:val="clear" w:color="auto" w:fill="D9E2F3"/>
          </w:tcPr>
          <w:p>
            <w:r>
              <w:rPr>
                <w:b/>
                <w:color w:val="1F3B57"/>
              </w:rPr>
              <w:t>Level / type</w:t>
            </w:r>
          </w:p>
        </w:tc>
        <w:tc>
          <w:tcPr>
            <w:tcW w:type="dxa" w:w="3685"/>
            <w:shd w:val="clear" w:color="auto" w:fill="D9E2F3"/>
          </w:tcPr>
          <w:p>
            <w:r>
              <w:rPr>
                <w:b/>
                <w:color w:val="1F3B57"/>
              </w:rPr>
              <w:t>What it proves</w:t>
            </w:r>
          </w:p>
        </w:tc>
        <w:tc>
          <w:tcPr>
            <w:tcW w:type="dxa" w:w="3118"/>
            <w:shd w:val="clear" w:color="auto" w:fill="D9E2F3"/>
          </w:tcPr>
          <w:p>
            <w:r>
              <w:rPr>
                <w:b/>
                <w:color w:val="1F3B57"/>
              </w:rPr>
              <w:t>Owner</w:t>
            </w:r>
          </w:p>
        </w:tc>
      </w:tr>
      <w:tr>
        <w:tc>
          <w:tcPr>
            <w:tcW w:type="dxa" w:w="2551"/>
          </w:tcPr>
          <w:p>
            <w:r>
              <w:t>Unit &amp; static analysis</w:t>
            </w:r>
          </w:p>
        </w:tc>
        <w:tc>
          <w:tcPr>
            <w:tcW w:type="dxa" w:w="3685"/>
          </w:tcPr>
          <w:p>
            <w:r>
              <w:t>Automated formatting, linting and unit tests pass on every change</w:t>
            </w:r>
          </w:p>
        </w:tc>
        <w:tc>
          <w:tcPr>
            <w:tcW w:type="dxa" w:w="3118"/>
          </w:tcPr>
          <w:p>
            <w:r>
              <w:t>Codex / CI</w:t>
            </w:r>
          </w:p>
        </w:tc>
      </w:tr>
      <w:tr>
        <w:tc>
          <w:tcPr>
            <w:tcW w:type="dxa" w:w="2551"/>
          </w:tcPr>
          <w:p>
            <w:r>
              <w:t>Migration test</w:t>
            </w:r>
          </w:p>
        </w:tc>
        <w:tc>
          <w:tcPr>
            <w:tcW w:type="dxa" w:w="3685"/>
          </w:tcPr>
          <w:p>
            <w:r>
              <w:t>Database migration applies cleanly to an empty Supabase project</w:t>
            </w:r>
          </w:p>
        </w:tc>
        <w:tc>
          <w:tcPr>
            <w:tcW w:type="dxa" w:w="3118"/>
          </w:tcPr>
          <w:p>
            <w:r>
              <w:t>Codex / CI</w:t>
            </w:r>
          </w:p>
        </w:tc>
      </w:tr>
      <w:tr>
        <w:tc>
          <w:tcPr>
            <w:tcW w:type="dxa" w:w="2551"/>
          </w:tcPr>
          <w:p>
            <w:r>
              <w:t>RLS security test</w:t>
            </w:r>
          </w:p>
        </w:tc>
        <w:tc>
          <w:tcPr>
            <w:tcW w:type="dxa" w:w="3685"/>
          </w:tcPr>
          <w:p>
            <w:r>
              <w:t>Cross-organisation reads and writes are denied at the database layer</w:t>
            </w:r>
          </w:p>
        </w:tc>
        <w:tc>
          <w:tcPr>
            <w:tcW w:type="dxa" w:w="3118"/>
          </w:tcPr>
          <w:p>
            <w:r>
              <w:t>Test manager + Codex</w:t>
            </w:r>
          </w:p>
        </w:tc>
      </w:tr>
      <w:tr>
        <w:tc>
          <w:tcPr>
            <w:tcW w:type="dxa" w:w="2551"/>
          </w:tcPr>
          <w:p>
            <w:r>
              <w:t>Integration test</w:t>
            </w:r>
          </w:p>
        </w:tc>
        <w:tc>
          <w:tcPr>
            <w:tcW w:type="dxa" w:w="3685"/>
          </w:tcPr>
          <w:p>
            <w:r>
              <w:t>SQL functions/views and Edge Functions return correct data for each feature area</w:t>
            </w:r>
          </w:p>
        </w:tc>
        <w:tc>
          <w:tcPr>
            <w:tcW w:type="dxa" w:w="3118"/>
          </w:tcPr>
          <w:p>
            <w:r>
              <w:t>Test manager</w:t>
            </w:r>
          </w:p>
        </w:tc>
      </w:tr>
      <w:tr>
        <w:tc>
          <w:tcPr>
            <w:tcW w:type="dxa" w:w="2551"/>
          </w:tcPr>
          <w:p>
            <w:r>
              <w:t>End-to-end (vertical slice)</w:t>
            </w:r>
          </w:p>
        </w:tc>
        <w:tc>
          <w:tcPr>
            <w:tcW w:type="dxa" w:w="3685"/>
          </w:tcPr>
          <w:p>
            <w:r>
              <w:t>Add property → compliance → evidence → warning → Today → complete → timeline works across the full stack</w:t>
            </w:r>
          </w:p>
        </w:tc>
        <w:tc>
          <w:tcPr>
            <w:tcW w:type="dxa" w:w="3118"/>
          </w:tcPr>
          <w:p>
            <w:r>
              <w:t>Test manager</w:t>
            </w:r>
          </w:p>
        </w:tc>
      </w:tr>
      <w:tr>
        <w:tc>
          <w:tcPr>
            <w:tcW w:type="dxa" w:w="2551"/>
          </w:tcPr>
          <w:p>
            <w:r>
              <w:t>Date-boundary test</w:t>
            </w:r>
          </w:p>
        </w:tc>
        <w:tc>
          <w:tcPr>
            <w:tcW w:type="dxa" w:w="3685"/>
          </w:tcPr>
          <w:p>
            <w:r>
              <w:t>Today's due-soon/expired/missing thresholds (14, 45, 30, 60 days) are correct at the edges</w:t>
            </w:r>
          </w:p>
        </w:tc>
        <w:tc>
          <w:tcPr>
            <w:tcW w:type="dxa" w:w="3118"/>
          </w:tcPr>
          <w:p>
            <w:r>
              <w:t>Test manager</w:t>
            </w:r>
          </w:p>
        </w:tc>
      </w:tr>
      <w:tr>
        <w:tc>
          <w:tcPr>
            <w:tcW w:type="dxa" w:w="2551"/>
          </w:tcPr>
          <w:p>
            <w:r>
              <w:t>Manual functional test</w:t>
            </w:r>
          </w:p>
        </w:tc>
        <w:tc>
          <w:tcPr>
            <w:tcW w:type="dxa" w:w="3685"/>
          </w:tcPr>
          <w:p>
            <w:r>
              <w:t>Each screen in section 7 behaves as specified</w:t>
            </w:r>
          </w:p>
        </w:tc>
        <w:tc>
          <w:tcPr>
            <w:tcW w:type="dxa" w:w="3118"/>
          </w:tcPr>
          <w:p>
            <w:r>
              <w:t>Test manager</w:t>
            </w:r>
          </w:p>
        </w:tc>
      </w:tr>
      <w:tr>
        <w:tc>
          <w:tcPr>
            <w:tcW w:type="dxa" w:w="2551"/>
          </w:tcPr>
          <w:p>
            <w:r>
              <w:t>Accessibility &amp; responsive</w:t>
            </w:r>
          </w:p>
        </w:tc>
        <w:tc>
          <w:tcPr>
            <w:tcW w:type="dxa" w:w="3685"/>
          </w:tcPr>
          <w:p>
            <w:r>
              <w:t>Keyboard navigation and common breakpoints are usable</w:t>
            </w:r>
          </w:p>
        </w:tc>
        <w:tc>
          <w:tcPr>
            <w:tcW w:type="dxa" w:w="3118"/>
          </w:tcPr>
          <w:p>
            <w:r>
              <w:t>Test manager</w:t>
            </w:r>
          </w:p>
        </w:tc>
      </w:tr>
      <w:tr>
        <w:tc>
          <w:tcPr>
            <w:tcW w:type="dxa" w:w="2551"/>
          </w:tcPr>
          <w:p>
            <w:r>
              <w:t>Exploratory / risk-based</w:t>
            </w:r>
          </w:p>
        </w:tc>
        <w:tc>
          <w:tcPr>
            <w:tcW w:type="dxa" w:w="3685"/>
          </w:tcPr>
          <w:p>
            <w:r>
              <w:t>Unscripted probing of high-risk areas (RLS, document privacy, AI boundary)</w:t>
            </w:r>
          </w:p>
        </w:tc>
        <w:tc>
          <w:tcPr>
            <w:tcW w:type="dxa" w:w="3118"/>
          </w:tcPr>
          <w:p>
            <w:r>
              <w:t>Test manager</w:t>
            </w:r>
          </w:p>
        </w:tc>
      </w:tr>
      <w:tr>
        <w:tc>
          <w:tcPr>
            <w:tcW w:type="dxa" w:w="2551"/>
          </w:tcPr>
          <w:p>
            <w:r>
              <w:t>UAT (private validation)</w:t>
            </w:r>
          </w:p>
        </w:tc>
        <w:tc>
          <w:tcPr>
            <w:tcW w:type="dxa" w:w="3685"/>
          </w:tcPr>
          <w:p>
            <w:r>
              <w:t>Real portfolio use proves the product works day to day</w:t>
            </w:r>
          </w:p>
        </w:tc>
        <w:tc>
          <w:tcPr>
            <w:tcW w:type="dxa" w:w="3118"/>
          </w:tcPr>
          <w:p>
            <w:r>
              <w:t>Karl, then invited landlords</w:t>
            </w:r>
          </w:p>
        </w:tc>
      </w:tr>
    </w:tbl>
    <w:p/>
    <w:p>
      <w:pPr>
        <w:pStyle w:val="Heading1"/>
      </w:pPr>
      <w:r>
        <w:t>5. Environments</w:t>
      </w:r>
    </w:p>
    <w:tbl>
      <w:tblPr>
        <w:tblW w:type="auto" w:w="0"/>
        <w:jc w:val="center"/>
        <w:tblLayout w:type="fixed"/>
        <w:tblLook w:firstColumn="1" w:firstRow="1" w:lastColumn="0" w:lastRow="0" w:noHBand="0" w:noVBand="1" w:val="04A0"/>
      </w:tblPr>
      <w:tblGrid>
        <w:gridCol w:w="3213"/>
        <w:gridCol w:w="3213"/>
        <w:gridCol w:w="3213"/>
      </w:tblGrid>
      <w:tr>
        <w:tc>
          <w:tcPr>
            <w:tcW w:type="dxa" w:w="1984"/>
            <w:shd w:val="clear" w:color="auto" w:fill="D9E2F3"/>
          </w:tcPr>
          <w:p>
            <w:r>
              <w:rPr>
                <w:b/>
                <w:color w:val="1F3B57"/>
              </w:rPr>
              <w:t>Environment</w:t>
            </w:r>
          </w:p>
        </w:tc>
        <w:tc>
          <w:tcPr>
            <w:tcW w:type="dxa" w:w="4535"/>
            <w:shd w:val="clear" w:color="auto" w:fill="D9E2F3"/>
          </w:tcPr>
          <w:p>
            <w:r>
              <w:rPr>
                <w:b/>
                <w:color w:val="1F3B57"/>
              </w:rPr>
              <w:t>Purpose</w:t>
            </w:r>
          </w:p>
        </w:tc>
        <w:tc>
          <w:tcPr>
            <w:tcW w:type="dxa" w:w="2835"/>
            <w:shd w:val="clear" w:color="auto" w:fill="D9E2F3"/>
          </w:tcPr>
          <w:p>
            <w:r>
              <w:rPr>
                <w:b/>
                <w:color w:val="1F3B57"/>
              </w:rPr>
              <w:t>Data</w:t>
            </w:r>
          </w:p>
        </w:tc>
      </w:tr>
      <w:tr>
        <w:tc>
          <w:tcPr>
            <w:tcW w:type="dxa" w:w="1984"/>
          </w:tcPr>
          <w:p>
            <w:r>
              <w:t>Local</w:t>
            </w:r>
          </w:p>
        </w:tc>
        <w:tc>
          <w:tcPr>
            <w:tcW w:type="dxa" w:w="4535"/>
          </w:tcPr>
          <w:p>
            <w:r>
              <w:t>Developer iteration</w:t>
            </w:r>
          </w:p>
        </w:tc>
        <w:tc>
          <w:tcPr>
            <w:tcW w:type="dxa" w:w="2835"/>
          </w:tcPr>
          <w:p>
            <w:r>
              <w:t>Fictional seed data only</w:t>
            </w:r>
          </w:p>
        </w:tc>
      </w:tr>
      <w:tr>
        <w:tc>
          <w:tcPr>
            <w:tcW w:type="dxa" w:w="1984"/>
          </w:tcPr>
          <w:p>
            <w:r>
              <w:t>Development</w:t>
            </w:r>
          </w:p>
        </w:tc>
        <w:tc>
          <w:tcPr>
            <w:tcW w:type="dxa" w:w="4535"/>
          </w:tcPr>
          <w:p>
            <w:r>
              <w:t>Test manager functional, RLS and E2E testing</w:t>
            </w:r>
          </w:p>
        </w:tc>
        <w:tc>
          <w:tcPr>
            <w:tcW w:type="dxa" w:w="2835"/>
          </w:tcPr>
          <w:p>
            <w:r>
              <w:t>Fictional seed data only</w:t>
            </w:r>
          </w:p>
        </w:tc>
      </w:tr>
      <w:tr>
        <w:tc>
          <w:tcPr>
            <w:tcW w:type="dxa" w:w="1984"/>
          </w:tcPr>
          <w:p>
            <w:r>
              <w:t>Production</w:t>
            </w:r>
          </w:p>
        </w:tc>
        <w:tc>
          <w:tcPr>
            <w:tcW w:type="dxa" w:w="4535"/>
          </w:tcPr>
          <w:p>
            <w:r>
              <w:t>Karl's real portfolio during private validation (Milestone 5)</w:t>
            </w:r>
          </w:p>
        </w:tc>
        <w:tc>
          <w:tcPr>
            <w:tcW w:type="dxa" w:w="2835"/>
          </w:tcPr>
          <w:p>
            <w:r>
              <w:t>Karl's real data — never copied to the public Sites prototype</w:t>
            </w:r>
          </w:p>
        </w:tc>
      </w:tr>
    </w:tbl>
    <w:p/>
    <w:p>
      <w:r>
        <w:rPr>
          <w:b w:val="0"/>
          <w:i w:val="0"/>
        </w:rPr>
        <w:t>Production data must never be loaded into the public PropertyOS Sites prototype. All pre-Milestone-5 testing uses fictional or minimised data, consistent with section 9 of the Build Specification.</w:t>
      </w:r>
    </w:p>
    <w:p>
      <w:pPr>
        <w:pStyle w:val="Heading1"/>
      </w:pPr>
      <w:r>
        <w:t>6. Test Approach by Milestone</w:t>
      </w:r>
    </w:p>
    <w:p>
      <w:pPr>
        <w:pStyle w:val="Heading2"/>
      </w:pPr>
      <w:r>
        <w:t>Milestone 1 — Foundation</w:t>
      </w:r>
    </w:p>
    <w:p>
      <w:r>
        <w:rPr>
          <w:b w:val="0"/>
          <w:i w:val="0"/>
        </w:rPr>
        <w:t>Focus: does the foundation hold data safely before any feature is built on top of it.</w:t>
      </w:r>
    </w:p>
    <w:p>
      <w:pPr>
        <w:pStyle w:val="ListBullet"/>
      </w:pPr>
      <w:r>
        <w:t>Verify repository, environment config and CI checks run on every push.</w:t>
      </w:r>
    </w:p>
    <w:p>
      <w:pPr>
        <w:pStyle w:val="ListBullet"/>
      </w:pPr>
      <w:r>
        <w:t>Apply the migration to a fresh Supabase project and confirm it succeeds with no manual steps.</w:t>
      </w:r>
    </w:p>
    <w:p>
      <w:pPr>
        <w:pStyle w:val="ListBullet"/>
      </w:pPr>
      <w:r>
        <w:t>Create two organisations with two users each; confirm auth works and RLS denies cross-organisation reads/writes for every table that exists at this point.</w:t>
      </w:r>
    </w:p>
    <w:p>
      <w:pPr>
        <w:pStyle w:val="ListBullet"/>
      </w:pPr>
      <w:r>
        <w:t>Smoke-test the Flutter shell and navigation on web.</w:t>
      </w:r>
    </w:p>
    <w:p>
      <w:pPr>
        <w:pStyle w:val="Heading2"/>
      </w:pPr>
      <w:r>
        <w:t>Milestone 2 — Vertical slice</w:t>
      </w:r>
    </w:p>
    <w:p>
      <w:r>
        <w:rPr>
          <w:b w:val="0"/>
          <w:i w:val="0"/>
        </w:rPr>
        <w:t>Focus: the single flow the whole Alpha proposition depends on (Build Spec section 6).</w:t>
      </w:r>
    </w:p>
    <w:p>
      <w:pPr>
        <w:pStyle w:val="ListBullet"/>
      </w:pPr>
      <w:r>
        <w:t>Execute the primary vertical slice end to end: add property → add compliance record → upload evidence → confirm dates → calculate warning → show Today action → complete task → write timeline event.</w:t>
      </w:r>
    </w:p>
    <w:p>
      <w:pPr>
        <w:pStyle w:val="ListBullet"/>
      </w:pPr>
      <w:r>
        <w:t>Run the Alpha Acceptance Test verbatim (section 14) — see section 9 of this plan.</w:t>
      </w:r>
    </w:p>
    <w:p>
      <w:pPr>
        <w:pStyle w:val="ListBullet"/>
      </w:pPr>
      <w:r>
        <w:t>Confirm private document upload/download only works for members of the owning organisation.</w:t>
      </w:r>
    </w:p>
    <w:p>
      <w:pPr>
        <w:pStyle w:val="ListBullet"/>
      </w:pPr>
      <w:r>
        <w:t>Confirm the Today warning recalculates correctly after the record is edited.</w:t>
      </w:r>
    </w:p>
    <w:p>
      <w:pPr>
        <w:pStyle w:val="Heading2"/>
      </w:pPr>
      <w:r>
        <w:t>Milestone 3 — Working portfolio</w:t>
      </w:r>
    </w:p>
    <w:p>
      <w:r>
        <w:rPr>
          <w:b w:val="0"/>
          <w:i w:val="0"/>
        </w:rPr>
        <w:t>Focus: breadth across a real multi-property portfolio.</w:t>
      </w:r>
    </w:p>
    <w:p>
      <w:pPr>
        <w:pStyle w:val="ListBullet"/>
      </w:pPr>
      <w:r>
        <w:t>Tenancy CRUD, including boundary checks that no Right to Rent evidence, bank details or ID documents can be stored.</w:t>
      </w:r>
    </w:p>
    <w:p>
      <w:pPr>
        <w:pStyle w:val="ListBullet"/>
      </w:pPr>
      <w:r>
        <w:t>Maintenance CRUD and linkage to documents.</w:t>
      </w:r>
    </w:p>
    <w:p>
      <w:pPr>
        <w:pStyle w:val="ListBullet"/>
      </w:pPr>
      <w:r>
        <w:t>Portfolio-wide compliance table filters and status accuracy across many properties at once.</w:t>
      </w:r>
    </w:p>
    <w:p>
      <w:pPr>
        <w:pStyle w:val="ListBullet"/>
      </w:pPr>
      <w:r>
        <w:t>Export produces valid, complete, organisation-scoped JSON/CSV; document links resolve via authorised, time-limited download links.</w:t>
      </w:r>
    </w:p>
    <w:p>
      <w:pPr>
        <w:pStyle w:val="ListBullet"/>
      </w:pPr>
      <w:r>
        <w:t>Responsive pass at common breakpoints (mobile, tablet, desktop) and full keyboard-only navigation pass.</w:t>
      </w:r>
    </w:p>
    <w:p>
      <w:pPr>
        <w:pStyle w:val="Heading2"/>
      </w:pPr>
      <w:r>
        <w:t>Milestone 4 — Assisted documents</w:t>
      </w:r>
    </w:p>
    <w:p>
      <w:r>
        <w:rPr>
          <w:b w:val="0"/>
          <w:i w:val="0"/>
        </w:rPr>
        <w:t>Focus: the AI boundary in section 11 is a hard safety line, not a soft guideline.</w:t>
      </w:r>
    </w:p>
    <w:p>
      <w:pPr>
        <w:pStyle w:val="ListBullet"/>
      </w:pPr>
      <w:r>
        <w:t>Confirm extraction runs only from a server-side function — inspect network calls from the Flutter client to prove no OpenAI or service-role key is ever present client-side.</w:t>
      </w:r>
    </w:p>
    <w:p>
      <w:pPr>
        <w:pStyle w:val="ListBullet"/>
      </w:pPr>
      <w:r>
        <w:t>Confirm every extracted fact is shown with a confidence score and source text, and requires explicit confirmation before it changes a compliance record.</w:t>
      </w:r>
    </w:p>
    <w:p>
      <w:pPr>
        <w:pStyle w:val="ListBullet"/>
      </w:pPr>
      <w:r>
        <w:t>Attempt to make the AI silently overwrite a confirmed fact, generate a status without a deterministic rule, or return another organisation's data — all three must fail.</w:t>
      </w:r>
    </w:p>
    <w:p>
      <w:pPr>
        <w:pStyle w:val="Heading2"/>
      </w:pPr>
      <w:r>
        <w:t>Milestone 5 — Private validation</w:t>
      </w:r>
    </w:p>
    <w:p>
      <w:r>
        <w:rPr>
          <w:b w:val="0"/>
          <w:i w:val="0"/>
        </w:rPr>
        <w:t>Focus: does it survive contact with a real portfolio and real daily use. See section 11 of this plan for the UAT approach.</w:t>
      </w:r>
    </w:p>
    <w:p>
      <w:pPr>
        <w:pStyle w:val="Heading1"/>
      </w:pPr>
      <w:r>
        <w:t>7. Risk-Based Test Priorities</w:t>
      </w:r>
    </w:p>
    <w:p>
      <w:r>
        <w:rPr>
          <w:b w:val="0"/>
          <w:i w:val="0"/>
        </w:rPr>
        <w:t>Ranked by impact if wrong, not by build order:</w:t>
      </w:r>
    </w:p>
    <w:tbl>
      <w:tblPr>
        <w:tblW w:type="auto" w:w="0"/>
        <w:jc w:val="center"/>
        <w:tblLayout w:type="fixed"/>
        <w:tblLook w:firstColumn="1" w:firstRow="1" w:lastColumn="0" w:lastRow="0" w:noHBand="0" w:noVBand="1" w:val="04A0"/>
      </w:tblPr>
      <w:tblGrid>
        <w:gridCol w:w="3213"/>
        <w:gridCol w:w="3213"/>
        <w:gridCol w:w="3213"/>
      </w:tblGrid>
      <w:tr>
        <w:tc>
          <w:tcPr>
            <w:tcW w:type="dxa" w:w="1417"/>
            <w:shd w:val="clear" w:color="auto" w:fill="D9E2F3"/>
          </w:tcPr>
          <w:p>
            <w:r>
              <w:rPr>
                <w:b/>
                <w:color w:val="1F3B57"/>
              </w:rPr>
              <w:t>Priority</w:t>
            </w:r>
          </w:p>
        </w:tc>
        <w:tc>
          <w:tcPr>
            <w:tcW w:type="dxa" w:w="3402"/>
            <w:shd w:val="clear" w:color="auto" w:fill="D9E2F3"/>
          </w:tcPr>
          <w:p>
            <w:r>
              <w:rPr>
                <w:b/>
                <w:color w:val="1F3B57"/>
              </w:rPr>
              <w:t>Risk</w:t>
            </w:r>
          </w:p>
        </w:tc>
        <w:tc>
          <w:tcPr>
            <w:tcW w:type="dxa" w:w="4535"/>
            <w:shd w:val="clear" w:color="auto" w:fill="D9E2F3"/>
          </w:tcPr>
          <w:p>
            <w:r>
              <w:rPr>
                <w:b/>
                <w:color w:val="1F3B57"/>
              </w:rPr>
              <w:t>Mitigation via testing</w:t>
            </w:r>
          </w:p>
        </w:tc>
      </w:tr>
      <w:tr>
        <w:tc>
          <w:tcPr>
            <w:tcW w:type="dxa" w:w="1417"/>
          </w:tcPr>
          <w:p>
            <w:r>
              <w:t>Critical</w:t>
            </w:r>
          </w:p>
        </w:tc>
        <w:tc>
          <w:tcPr>
            <w:tcW w:type="dxa" w:w="3402"/>
          </w:tcPr>
          <w:p>
            <w:r>
              <w:t>Cross-organisation data leakage (records, documents, Today, export)</w:t>
            </w:r>
          </w:p>
        </w:tc>
        <w:tc>
          <w:tcPr>
            <w:tcW w:type="dxa" w:w="4535"/>
          </w:tcPr>
          <w:p>
            <w:r>
              <w:t>RLS tests on every table and storage path; attempted cross-tenant reads via API/UI on every milestone</w:t>
            </w:r>
          </w:p>
        </w:tc>
      </w:tr>
      <w:tr>
        <w:tc>
          <w:tcPr>
            <w:tcW w:type="dxa" w:w="1417"/>
          </w:tcPr>
          <w:p>
            <w:r>
              <w:t>Critical</w:t>
            </w:r>
          </w:p>
        </w:tc>
        <w:tc>
          <w:tcPr>
            <w:tcW w:type="dxa" w:w="3402"/>
          </w:tcPr>
          <w:p>
            <w:r>
              <w:t>Today gives a wrong or missed urgent action (e.g. expired gas safety not flagged)</w:t>
            </w:r>
          </w:p>
        </w:tc>
        <w:tc>
          <w:tcPr>
            <w:tcW w:type="dxa" w:w="4535"/>
          </w:tcPr>
          <w:p>
            <w:r>
              <w:t>Exhaustive date-boundary tests at 14/45/30/60-day thresholds, including timezone and “day of” edge cases</w:t>
            </w:r>
          </w:p>
        </w:tc>
      </w:tr>
      <w:tr>
        <w:tc>
          <w:tcPr>
            <w:tcW w:type="dxa" w:w="1417"/>
          </w:tcPr>
          <w:p>
            <w:r>
              <w:t>High</w:t>
            </w:r>
          </w:p>
        </w:tc>
        <w:tc>
          <w:tcPr>
            <w:tcW w:type="dxa" w:w="3402"/>
          </w:tcPr>
          <w:p>
            <w:r>
              <w:t>Sensitive tenant data captured where it shouldn't be (ID docs, bank details, RTR evidence)</w:t>
            </w:r>
          </w:p>
        </w:tc>
        <w:tc>
          <w:tcPr>
            <w:tcW w:type="dxa" w:w="4535"/>
          </w:tcPr>
          <w:p>
            <w:r>
              <w:t>Negative tests confirming no such field or upload path exists in Tenancies</w:t>
            </w:r>
          </w:p>
        </w:tc>
      </w:tr>
      <w:tr>
        <w:tc>
          <w:tcPr>
            <w:tcW w:type="dxa" w:w="1417"/>
          </w:tcPr>
          <w:p>
            <w:r>
              <w:t>High</w:t>
            </w:r>
          </w:p>
        </w:tc>
        <w:tc>
          <w:tcPr>
            <w:tcW w:type="dxa" w:w="3402"/>
          </w:tcPr>
          <w:p>
            <w:r>
              <w:t>AI silently changes a compliance record</w:t>
            </w:r>
          </w:p>
        </w:tc>
        <w:tc>
          <w:tcPr>
            <w:tcW w:type="dxa" w:w="4535"/>
          </w:tcPr>
          <w:p>
            <w:r>
              <w:t>Milestone 4 boundary tests; confirmation workflow cannot be bypassed</w:t>
            </w:r>
          </w:p>
        </w:tc>
      </w:tr>
      <w:tr>
        <w:tc>
          <w:tcPr>
            <w:tcW w:type="dxa" w:w="1417"/>
          </w:tcPr>
          <w:p>
            <w:r>
              <w:t>Medium</w:t>
            </w:r>
          </w:p>
        </w:tc>
        <w:tc>
          <w:tcPr>
            <w:tcW w:type="dxa" w:w="3402"/>
          </w:tcPr>
          <w:p>
            <w:r>
              <w:t>UK-specific errors (date format, currency, wrong compliance category set)</w:t>
            </w:r>
          </w:p>
        </w:tc>
        <w:tc>
          <w:tcPr>
            <w:tcW w:type="dxa" w:w="4535"/>
          </w:tcPr>
          <w:p>
            <w:r>
              <w:t>Locale checks on every screen; catalogue matches the eight default categories exactly</w:t>
            </w:r>
          </w:p>
        </w:tc>
      </w:tr>
      <w:tr>
        <w:tc>
          <w:tcPr>
            <w:tcW w:type="dxa" w:w="1417"/>
          </w:tcPr>
          <w:p>
            <w:r>
              <w:t>Medium</w:t>
            </w:r>
          </w:p>
        </w:tc>
        <w:tc>
          <w:tcPr>
            <w:tcW w:type="dxa" w:w="3402"/>
          </w:tcPr>
          <w:p>
            <w:r>
              <w:t>Document privacy (unauthorised download of evidence)</w:t>
            </w:r>
          </w:p>
        </w:tc>
        <w:tc>
          <w:tcPr>
            <w:tcW w:type="dxa" w:w="4535"/>
          </w:tcPr>
          <w:p>
            <w:r>
              <w:t>Signed/expiring URL tests; direct object path guessing test</w:t>
            </w:r>
          </w:p>
        </w:tc>
      </w:tr>
      <w:tr>
        <w:tc>
          <w:tcPr>
            <w:tcW w:type="dxa" w:w="1417"/>
          </w:tcPr>
          <w:p>
            <w:r>
              <w:t>Low</w:t>
            </w:r>
          </w:p>
        </w:tc>
        <w:tc>
          <w:tcPr>
            <w:tcW w:type="dxa" w:w="3402"/>
          </w:tcPr>
          <w:p>
            <w:r>
              <w:t>Cosmetic/responsive issues</w:t>
            </w:r>
          </w:p>
        </w:tc>
        <w:tc>
          <w:tcPr>
            <w:tcW w:type="dxa" w:w="4535"/>
          </w:tcPr>
          <w:p>
            <w:r>
              <w:t>Manual pass at Milestone 3, revisited before external landlord invites</w:t>
            </w:r>
          </w:p>
        </w:tc>
      </w:tr>
    </w:tbl>
    <w:p/>
    <w:p>
      <w:pPr>
        <w:pStyle w:val="Heading1"/>
      </w:pPr>
      <w:r>
        <w:t>8. Quality Gates (exit criteria per milestone)</w:t>
      </w:r>
    </w:p>
    <w:p>
      <w:r>
        <w:rPr>
          <w:b w:val="0"/>
          <w:i w:val="0"/>
        </w:rPr>
        <w:t>Per Build Specification section 13, a milestone is not complete until:</w:t>
      </w:r>
    </w:p>
    <w:p>
      <w:pPr>
        <w:pStyle w:val="ListBullet"/>
      </w:pPr>
      <w:r>
        <w:t>Automated formatting, analysis and tests pass.</w:t>
      </w:r>
    </w:p>
    <w:p>
      <w:pPr>
        <w:pStyle w:val="ListBullet"/>
      </w:pPr>
      <w:r>
        <w:t>The database migration applies cleanly to an empty Supabase project.</w:t>
      </w:r>
    </w:p>
    <w:p>
      <w:pPr>
        <w:pStyle w:val="ListBullet"/>
      </w:pPr>
      <w:r>
        <w:t>RLS tests prove cross-organisation access is denied.</w:t>
      </w:r>
    </w:p>
    <w:p>
      <w:pPr>
        <w:pStyle w:val="ListBullet"/>
      </w:pPr>
      <w:r>
        <w:t>The vertical slice has a passing end-to-end test.</w:t>
      </w:r>
    </w:p>
    <w:p>
      <w:pPr>
        <w:pStyle w:val="ListBullet"/>
      </w:pPr>
      <w:r>
        <w:t>Today results are covered by date-boundary tests.</w:t>
      </w:r>
    </w:p>
    <w:p>
      <w:pPr>
        <w:pStyle w:val="ListBullet"/>
      </w:pPr>
      <w:r>
        <w:t>Keyboard navigation and common responsive widths are usable.</w:t>
      </w:r>
    </w:p>
    <w:p>
      <w:pPr>
        <w:pStyle w:val="ListBullet"/>
      </w:pPr>
      <w:r>
        <w:t>Errors provide recovery guidance without leaking internal details.</w:t>
      </w:r>
    </w:p>
    <w:p>
      <w:pPr>
        <w:pStyle w:val="ListBullet"/>
      </w:pPr>
      <w:r>
        <w:t>Seed data is fictional and clearly separated from production data.</w:t>
      </w:r>
    </w:p>
    <w:p>
      <w:r>
        <w:rPr>
          <w:b w:val="0"/>
          <w:i w:val="0"/>
        </w:rPr>
        <w:t>The test manager signs off each milestone against this checklist before the next milestone's build begins.</w:t>
      </w:r>
    </w:p>
    <w:p>
      <w:pPr>
        <w:pStyle w:val="Heading1"/>
      </w:pPr>
      <w:r>
        <w:t>9. The Alpha Acceptance Test</w:t>
      </w:r>
    </w:p>
    <w:p>
      <w:r>
        <w:rPr>
          <w:b w:val="0"/>
          <w:i w:val="0"/>
        </w:rPr>
        <w:t>This is the single test that stands in for the whole Alpha proposition, taken directly from Build Specification section 14, and is run at the end of Milestone 2 and again as a regression check at the end of every subsequent milestone.</w:t>
      </w:r>
    </w:p>
    <w:p>
      <w:r>
        <w:rPr>
          <w:b w:val="0"/>
          <w:i/>
        </w:rPr>
        <w:t>Given an authenticated owner with a property, when they create a Gas Safety record expiring in 31 days and attach a certificate, PropertyOS must:</w:t>
      </w:r>
    </w:p>
    <w:p>
      <w:pPr>
        <w:pStyle w:val="ListNumber"/>
      </w:pPr>
      <w:r>
        <w:t>Store the record and private evidence.</w:t>
      </w:r>
    </w:p>
    <w:p>
      <w:pPr>
        <w:pStyle w:val="ListNumber"/>
      </w:pPr>
      <w:r>
        <w:t>Calculate due_soon.</w:t>
      </w:r>
    </w:p>
    <w:p>
      <w:pPr>
        <w:pStyle w:val="ListNumber"/>
      </w:pPr>
      <w:r>
        <w:t>Show a dated action on Today.</w:t>
      </w:r>
    </w:p>
    <w:p>
      <w:pPr>
        <w:pStyle w:val="ListNumber"/>
      </w:pPr>
      <w:r>
        <w:t>Link the action to the property and evidence.</w:t>
      </w:r>
    </w:p>
    <w:p>
      <w:pPr>
        <w:pStyle w:val="ListNumber"/>
      </w:pPr>
      <w:r>
        <w:t>Allow the action to be completed.</w:t>
      </w:r>
    </w:p>
    <w:p>
      <w:pPr>
        <w:pStyle w:val="ListNumber"/>
      </w:pPr>
      <w:r>
        <w:t>Record the completion in the property timeline.</w:t>
      </w:r>
    </w:p>
    <w:p>
      <w:pPr>
        <w:pStyle w:val="ListNumber"/>
      </w:pPr>
      <w:r>
        <w:t>Prevent a user from another organisation reading any of those records.</w:t>
      </w:r>
    </w:p>
    <w:p>
      <w:r>
        <w:rPr>
          <w:b w:val="0"/>
          <w:i w:val="0"/>
        </w:rPr>
        <w:t>This is logged as TC-000 (Critical) in the Test Case Tracker and must pass before any milestone is considered releasable to Karl.</w:t>
      </w:r>
    </w:p>
    <w:p>
      <w:pPr>
        <w:pStyle w:val="Heading1"/>
      </w:pPr>
      <w:r>
        <w:t>10. Defect Management</w:t>
      </w:r>
    </w:p>
    <w:p>
      <w:pPr>
        <w:pStyle w:val="Heading2"/>
      </w:pPr>
      <w:r>
        <w:t>10.1 Severity</w:t>
      </w:r>
    </w:p>
    <w:tbl>
      <w:tblPr>
        <w:tblW w:type="auto" w:w="0"/>
        <w:jc w:val="center"/>
        <w:tblLayout w:type="fixed"/>
        <w:tblLook w:firstColumn="1" w:firstRow="1" w:lastColumn="0" w:lastRow="0" w:noHBand="0" w:noVBand="1" w:val="04A0"/>
      </w:tblPr>
      <w:tblGrid>
        <w:gridCol w:w="4819"/>
        <w:gridCol w:w="4819"/>
      </w:tblGrid>
      <w:tr>
        <w:tc>
          <w:tcPr>
            <w:tcW w:type="dxa" w:w="1984"/>
            <w:shd w:val="clear" w:color="auto" w:fill="D9E2F3"/>
          </w:tcPr>
          <w:p>
            <w:r>
              <w:rPr>
                <w:b/>
                <w:color w:val="1F3B57"/>
              </w:rPr>
              <w:t>Severity</w:t>
            </w:r>
          </w:p>
        </w:tc>
        <w:tc>
          <w:tcPr>
            <w:tcW w:type="dxa" w:w="7087"/>
            <w:shd w:val="clear" w:color="auto" w:fill="D9E2F3"/>
          </w:tcPr>
          <w:p>
            <w:r>
              <w:rPr>
                <w:b/>
                <w:color w:val="1F3B57"/>
              </w:rPr>
              <w:t>Definition</w:t>
            </w:r>
          </w:p>
        </w:tc>
      </w:tr>
      <w:tr>
        <w:tc>
          <w:tcPr>
            <w:tcW w:type="dxa" w:w="1984"/>
          </w:tcPr>
          <w:p>
            <w:r>
              <w:t>Blocker</w:t>
            </w:r>
          </w:p>
        </w:tc>
        <w:tc>
          <w:tcPr>
            <w:tcW w:type="dxa" w:w="7087"/>
          </w:tcPr>
          <w:p>
            <w:r>
              <w:t>Cross-organisation data exposure, data loss, or the vertical slice cannot complete</w:t>
            </w:r>
          </w:p>
        </w:tc>
      </w:tr>
      <w:tr>
        <w:tc>
          <w:tcPr>
            <w:tcW w:type="dxa" w:w="1984"/>
          </w:tcPr>
          <w:p>
            <w:r>
              <w:t>Critical</w:t>
            </w:r>
          </w:p>
        </w:tc>
        <w:tc>
          <w:tcPr>
            <w:tcW w:type="dxa" w:w="7087"/>
          </w:tcPr>
          <w:p>
            <w:r>
              <w:t>A core success criterion (section 2) fails, or Today gives an incorrect urgent/high action</w:t>
            </w:r>
          </w:p>
        </w:tc>
      </w:tr>
      <w:tr>
        <w:tc>
          <w:tcPr>
            <w:tcW w:type="dxa" w:w="1984"/>
          </w:tcPr>
          <w:p>
            <w:r>
              <w:t>Major</w:t>
            </w:r>
          </w:p>
        </w:tc>
        <w:tc>
          <w:tcPr>
            <w:tcW w:type="dxa" w:w="7087"/>
          </w:tcPr>
          <w:p>
            <w:r>
              <w:t>A feature area is unusable or gives wrong results, but has a workaround</w:t>
            </w:r>
          </w:p>
        </w:tc>
      </w:tr>
      <w:tr>
        <w:tc>
          <w:tcPr>
            <w:tcW w:type="dxa" w:w="1984"/>
          </w:tcPr>
          <w:p>
            <w:r>
              <w:t>Minor</w:t>
            </w:r>
          </w:p>
        </w:tc>
        <w:tc>
          <w:tcPr>
            <w:tcW w:type="dxa" w:w="7087"/>
          </w:tcPr>
          <w:p>
            <w:r>
              <w:t>Cosmetic, wording, or minor usability issue with no functional impact</w:t>
            </w:r>
          </w:p>
        </w:tc>
      </w:tr>
    </w:tbl>
    <w:p/>
    <w:p>
      <w:pPr>
        <w:pStyle w:val="Heading2"/>
      </w:pPr>
      <w:r>
        <w:t>10.2 Priority</w:t>
      </w:r>
    </w:p>
    <w:p>
      <w:r>
        <w:rPr>
          <w:b w:val="0"/>
          <w:i w:val="0"/>
        </w:rPr>
        <w:t>Priority (how soon it's fixed) is set independently of severity — a Minor cosmetic issue on the sign-in screen can outrank a Major issue in an area Karl doesn't use yet. Blocker and Critical defects always halt progress to the next milestone until resolved or explicitly accepted by Karl.</w:t>
      </w:r>
    </w:p>
    <w:p>
      <w:pPr>
        <w:pStyle w:val="Heading2"/>
      </w:pPr>
      <w:r>
        <w:t>10.3 Workflow</w:t>
      </w:r>
    </w:p>
    <w:p>
      <w:r>
        <w:rPr>
          <w:b w:val="0"/>
          <w:i w:val="0"/>
        </w:rPr>
        <w:t>New → Confirmed → Fixed (by Codex) → Retested → Closed, or New → Rejected/Deferred with a recorded reason. All Blocker and Critical defects are retested against the full Alpha Acceptance Test, not just the specific fix.</w:t>
      </w:r>
    </w:p>
    <w:p>
      <w:pPr>
        <w:pStyle w:val="Heading1"/>
      </w:pPr>
      <w:r>
        <w:t>11. UAT — Private Validation (Milestone 5)</w:t>
      </w:r>
    </w:p>
    <w:p>
      <w:pPr>
        <w:pStyle w:val="ListNumber"/>
      </w:pPr>
      <w:r>
        <w:t>Import Karl's real portfolio (8 properties) into production.</w:t>
      </w:r>
    </w:p>
    <w:p>
      <w:pPr>
        <w:pStyle w:val="ListNumber"/>
      </w:pPr>
      <w:r>
        <w:t>Daily use for two to four weeks, with friction and missing workflows logged as they occur rather than reconstructed from memory.</w:t>
      </w:r>
    </w:p>
    <w:p>
      <w:pPr>
        <w:pStyle w:val="ListNumber"/>
      </w:pPr>
      <w:r>
        <w:t>Weekly review of the friction log against the ten success criteria to decide whether each is genuinely met in practice, not just in a test script.</w:t>
      </w:r>
    </w:p>
    <w:p>
      <w:pPr>
        <w:pStyle w:val="ListNumber"/>
      </w:pPr>
      <w:r>
        <w:t>Before inviting external landlords: re-run backups, export and deletion tests explicitly (section 9 of the Build Spec requires this).</w:t>
      </w:r>
    </w:p>
    <w:p>
      <w:pPr>
        <w:pStyle w:val="ListNumber"/>
      </w:pPr>
      <w:r>
        <w:t>Invite two or three trusted landlords only after the friction log shows no open Blocker or Critical items.</w:t>
      </w:r>
    </w:p>
    <w:p>
      <w:pPr>
        <w:pStyle w:val="ListNumber"/>
      </w:pPr>
      <w:r>
        <w:t>Use observed friction (not the original spec) as the primary input to the commercial MVP scope decision.</w:t>
      </w:r>
    </w:p>
    <w:p>
      <w:pPr>
        <w:pStyle w:val="Heading1"/>
      </w:pPr>
      <w:r>
        <w:t>12. Deliverables</w:t>
      </w:r>
    </w:p>
    <w:p>
      <w:pPr>
        <w:pStyle w:val="ListBullet"/>
      </w:pPr>
      <w:r>
        <w:t>This Test Strategy &amp; Plan document.</w:t>
      </w:r>
    </w:p>
    <w:p>
      <w:pPr>
        <w:pStyle w:val="ListBullet"/>
      </w:pPr>
      <w:r>
        <w:t>PropertyOS_Alpha_Test_Cases.xlsx — the executable test case tracker, organised by feature area and milestone.</w:t>
      </w:r>
    </w:p>
    <w:p>
      <w:pPr>
        <w:pStyle w:val="ListBullet"/>
      </w:pPr>
      <w:r>
        <w:t>A running defect log (severity, priority, status, retest evidence).</w:t>
      </w:r>
    </w:p>
    <w:p>
      <w:pPr>
        <w:pStyle w:val="ListBullet"/>
      </w:pPr>
      <w:r>
        <w:t>A milestone sign-off note against the quality gates in section 8, for each of Milestones 1–4.</w:t>
      </w:r>
    </w:p>
    <w:p>
      <w:pPr>
        <w:pStyle w:val="ListBullet"/>
      </w:pPr>
      <w:r>
        <w:t>A UAT friction log and end-of-validation summary at the close of Milestone 5, feeding the commercial MVP decision.</w:t>
      </w:r>
    </w:p>
    <w:p>
      <w:pPr>
        <w:pStyle w:val="Heading1"/>
      </w:pPr>
      <w:r>
        <w:t>13. Alpha Disclaimer (context for testers)</w:t>
      </w:r>
    </w:p>
    <w:p>
      <w:r>
        <w:rPr>
          <w:b w:val="0"/>
          <w:i/>
        </w:rPr>
        <w:t>PropertyOS helps organise information and highlight potential compliance actions. It does not provide legal advice, certify compliance or replace professional landlord, legal or compliance advice. Test cases should never assert that the product “certifies” or “guarantees” compliance — only that it surfaces accurate, evidence-linked information.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