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C50"/>
          <w:sz w:val="60"/>
        </w:rPr>
        <w:t>TRUEPLUG</w:t>
      </w:r>
    </w:p>
    <w:p>
      <w:pPr>
        <w:jc w:val="center"/>
      </w:pPr>
      <w:r>
        <w:rPr>
          <w:b/>
          <w:color w:val="25538C"/>
          <w:sz w:val="40"/>
        </w:rPr>
        <w:t>Contained Dataset &amp; Plugin Factory</w:t>
      </w:r>
    </w:p>
    <w:p>
      <w:pPr>
        <w:jc w:val="center"/>
      </w:pPr>
      <w:r>
        <w:rPr>
          <w:color w:val="5C6570"/>
          <w:sz w:val="28"/>
        </w:rPr>
        <w:t>Engineering Build Specification</w:t>
      </w:r>
    </w:p>
    <w:p/>
    <w:p>
      <w:pPr>
        <w:jc w:val="center"/>
      </w:pPr>
      <w:r>
        <w:rPr>
          <w:sz w:val="22"/>
        </w:rPr>
        <w:t>Purpose: give another engineer enough system law, data geometry, containment rules, interfaces, weighting logic, qualification gates, and build order to implement the system without inventing new authority.</w:t>
      </w:r>
    </w:p>
    <w:p>
      <w:pPr>
        <w:jc w:val="center"/>
      </w:pPr>
      <w:r>
        <w:rPr>
          <w:b/>
          <w:color w:val="963C28"/>
        </w:rPr>
        <w:t>Status: design/build document only - not runtime authority.</w:t>
      </w:r>
    </w:p>
    <w:p>
      <w:r/>
    </w:p>
    <w:p>
      <w:pPr>
        <w:pStyle w:val="Heading1"/>
      </w:pPr>
      <w:r>
        <w:t>1. Executive Summary</w:t>
      </w:r>
    </w:p>
    <w:p>
      <w:r>
        <w:t>TruePlug is a detached plugin-development and qualification environment. It is not a production control plane. Its job is to create, inspect, run, stress, measure, package, and qualify plugins inside disposable synthetic worlds, then hand an immutable candidate and evidence packet to TrueCore for admission.</w:t>
      </w:r>
    </w:p>
    <w:p>
      <w:r>
        <w:t>The core design combines three proven patterns: the existing detached plugin runner; the old single-file HTML intake/mapping tools; and the current TrueSystems authority model. The result is a little contained machine that can manufacture its own datasets, graph them, calculate measured relationship weights, produce deterministic Top-K traversal surfaces, and let ARC/assembler machinery experiment without touching canonical TrueSystems state.</w:t>
      </w:r>
    </w:p>
    <w:p>
      <w:pPr>
        <w:pStyle w:val="CodeBlock"/>
        <w:shd w:fill="F2F5F9"/>
      </w:pPr>
      <w:r>
        <w:t>unknown or unfinished capability</w:t>
        <w:br/>
        <w:t xml:space="preserve">        v</w:t>
        <w:br/>
        <w:t>TruePlug contained workspace</w:t>
        <w:br/>
        <w:t xml:space="preserve">        v</w:t>
        <w:br/>
        <w:t>synthetic or admitted-local test data</w:t>
        <w:br/>
        <w:t xml:space="preserve">        v</w:t>
        <w:br/>
        <w:t>exact intake + containment + relationship graph</w:t>
        <w:br/>
        <w:t xml:space="preserve">        v</w:t>
        <w:br/>
        <w:t>count-derived weights + Top-K</w:t>
        <w:br/>
        <w:t xml:space="preserve">        v</w:t>
        <w:br/>
        <w:t>ARC / assembler exploration</w:t>
        <w:br/>
        <w:t xml:space="preserve">        v</w:t>
        <w:br/>
        <w:t>candidate plugin</w:t>
        <w:br/>
        <w:t xml:space="preserve">        v</w:t>
        <w:br/>
        <w:t>detached tests + replay + effect capture</w:t>
        <w:br/>
        <w:t xml:space="preserve">        v</w:t>
        <w:br/>
        <w:t>immutable qualification packet</w:t>
        <w:br/>
        <w:t xml:space="preserve">        v</w:t>
        <w:br/>
        <w:t>TrueCore admission decision</w:t>
      </w:r>
    </w:p>
    <w:p>
      <w:pPr>
        <w:pStyle w:val="Heading1"/>
      </w:pPr>
      <w:r>
        <w:t>2. Governing Boundary</w:t>
      </w:r>
    </w:p>
    <w:p>
      <w:r>
        <w:t>The single most important architectural rule is:</w:t>
      </w:r>
    </w:p>
    <w:p>
      <w:pPr>
        <w:jc w:val="center"/>
      </w:pPr>
      <w:r>
        <w:rPr>
          <w:b/>
          <w:color w:val="142C50"/>
          <w:sz w:val="26"/>
        </w:rPr>
        <w:t>Learning may expand what the system can propose. Only governance expands what the system may do.</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Pr>
                <w:b/>
                <w:color w:val="FFFFFF"/>
              </w:rPr>
              <w:t>Component</w:t>
            </w:r>
          </w:p>
        </w:tc>
        <w:tc>
          <w:tcPr>
            <w:tcW w:type="dxa" w:w="8352"/>
            <w:vAlign w:val="center"/>
            <w:shd w:fill="1F4E78"/>
          </w:tcPr>
          <w:p>
            <w:r>
              <w:rPr>
                <w:b/>
                <w:color w:val="FFFFFF"/>
              </w:rPr>
              <w:t>Authority</w:t>
            </w:r>
          </w:p>
        </w:tc>
      </w:tr>
      <w:tr>
        <w:tc>
          <w:tcPr>
            <w:tcW w:type="dxa" w:w="2448"/>
            <w:vAlign w:val="top"/>
          </w:tcPr>
          <w:p>
            <w:r>
              <w:t>TruePlug</w:t>
            </w:r>
          </w:p>
        </w:tc>
        <w:tc>
          <w:tcPr>
            <w:tcW w:type="dxa" w:w="8352"/>
            <w:vAlign w:val="top"/>
          </w:tcPr>
          <w:p>
            <w:r>
              <w:t>Create, develop, mount, inspect, exercise, graph, test, package, and qualify candidate plugins in containment.</w:t>
            </w:r>
          </w:p>
        </w:tc>
      </w:tr>
      <w:tr>
        <w:tc>
          <w:tcPr>
            <w:tcW w:type="dxa" w:w="2448"/>
            <w:vAlign w:val="top"/>
          </w:tcPr>
          <w:p>
            <w:r>
              <w:t>TrueCore</w:t>
            </w:r>
          </w:p>
        </w:tc>
        <w:tc>
          <w:tcPr>
            <w:tcW w:type="dxa" w:w="8352"/>
            <w:vAlign w:val="top"/>
          </w:tcPr>
          <w:p>
            <w:r>
              <w:t>Decide whether a finished candidate may enter TrueSystems and exactly what authority it receives.</w:t>
            </w:r>
          </w:p>
        </w:tc>
      </w:tr>
      <w:tr>
        <w:tc>
          <w:tcPr>
            <w:tcW w:type="dxa" w:w="2448"/>
            <w:vAlign w:val="top"/>
          </w:tcPr>
          <w:p>
            <w:r>
              <w:t>TrueMachine</w:t>
            </w:r>
          </w:p>
        </w:tc>
        <w:tc>
          <w:tcPr>
            <w:tcW w:type="dxa" w:w="8352"/>
            <w:vAlign w:val="top"/>
          </w:tcPr>
          <w:p>
            <w:r>
              <w:t>Perform qualified machine operations after admission and return machine-state receipts.</w:t>
            </w:r>
          </w:p>
        </w:tc>
      </w:tr>
      <w:tr>
        <w:tc>
          <w:tcPr>
            <w:tcW w:type="dxa" w:w="2448"/>
            <w:vAlign w:val="top"/>
          </w:tcPr>
          <w:p>
            <w:r>
              <w:t>TrueComputer</w:t>
            </w:r>
          </w:p>
        </w:tc>
        <w:tc>
          <w:tcPr>
            <w:tcW w:type="dxa" w:w="8352"/>
            <w:vAlign w:val="top"/>
          </w:tcPr>
          <w:p>
            <w:r>
              <w:t>Perform qualified desktop/UI interaction after admission.</w:t>
            </w:r>
          </w:p>
        </w:tc>
      </w:tr>
      <w:tr>
        <w:tc>
          <w:tcPr>
            <w:tcW w:type="dxa" w:w="2448"/>
            <w:vAlign w:val="top"/>
          </w:tcPr>
          <w:p>
            <w:r>
              <w:t>TrueVision / Audio / other systems</w:t>
            </w:r>
          </w:p>
        </w:tc>
        <w:tc>
          <w:tcPr>
            <w:tcW w:type="dxa" w:w="8352"/>
            <w:vAlign w:val="top"/>
          </w:tcPr>
          <w:p>
            <w:r>
              <w:t>Supply system-specific witnessed capabilities to admitted workers/plugins.</w:t>
            </w:r>
          </w:p>
        </w:tc>
      </w:tr>
      <w:tr>
        <w:tc>
          <w:tcPr>
            <w:tcW w:type="dxa" w:w="2448"/>
            <w:vAlign w:val="top"/>
          </w:tcPr>
          <w:p>
            <w:r>
              <w:t>ARC / assembler</w:t>
            </w:r>
          </w:p>
        </w:tc>
        <w:tc>
          <w:tcPr>
            <w:tcW w:type="dxa" w:w="8352"/>
            <w:vAlign w:val="top"/>
          </w:tcPr>
          <w:p>
            <w:r>
              <w:t>Learn patterns, explore graph structure, and propose/build candidates inside containment. Never self-authorize.</w:t>
            </w:r>
          </w:p>
        </w:tc>
      </w:tr>
    </w:tbl>
    <w:p/>
    <w:p>
      <w:pPr>
        <w:pStyle w:val="Heading1"/>
      </w:pPr>
      <w:r>
        <w:t>3. What Already Exists and Should Be Reused</w:t>
      </w:r>
    </w:p>
    <w:p>
      <w:r>
        <w:t>The old Clearbox plugin runner is not merely an adapter. It is already a detached development runtime with discovery, mounting, fixture execution, mock host services, health and route inspection, change detection, external scan directories, and promotion preparation.</w:t>
      </w:r>
    </w:p>
    <w:p>
      <w:pPr>
        <w:pStyle w:val="ListBullet"/>
      </w:pPr>
      <w:r>
        <w:t>Retain discovery and plugin workspace concepts.</w:t>
      </w:r>
    </w:p>
    <w:p>
      <w:pPr>
        <w:pStyle w:val="ListBullet"/>
      </w:pPr>
      <w:r>
        <w:t>Retain mock-host and fixture-driven development.</w:t>
      </w:r>
    </w:p>
    <w:p>
      <w:pPr>
        <w:pStyle w:val="ListBullet"/>
      </w:pPr>
      <w:r>
        <w:t>Retain route, manifest, health, and change inspection.</w:t>
      </w:r>
    </w:p>
    <w:p>
      <w:pPr>
        <w:pStyle w:val="ListBullet"/>
      </w:pPr>
      <w:r>
        <w:t>Retain the notion of promotion preparation, but replace aggregate readiness scoring with named mandatory gates.</w:t>
      </w:r>
    </w:p>
    <w:p>
      <w:pPr>
        <w:pStyle w:val="ListBullet"/>
      </w:pPr>
      <w:r>
        <w:t>Do not treat the current runner as sandboxed: plugin code currently shares the runner process and environment.</w:t>
      </w:r>
    </w:p>
    <w:p>
      <w:r>
        <w:t>The old Forest HTML mappers are also useful, but as intake/mapping appliances rather than semantic authorities. They already demonstrate a compact pattern: local file intake -&gt; positional objects -&gt; bounded neighborhoods -&gt; relationship records -&gt; metadata-rich export.</w:t>
      </w:r>
    </w:p>
    <w:p>
      <w:pPr>
        <w:pStyle w:val="Heading1"/>
      </w:pPr>
      <w:r>
        <w:t>4. TruePlug Contained World</w:t>
      </w:r>
    </w:p>
    <w:p>
      <w:r>
        <w:t>Every development/learning run receives a disposable root. No plugin should see the developer's normal filesystem, network, databases, credentials, or canonical datasets unless an explicit development fixture exposes a bounded substitute.</w:t>
      </w:r>
    </w:p>
    <w:p>
      <w:pPr>
        <w:pStyle w:val="CodeBlock"/>
        <w:shd w:fill="F2F5F9"/>
      </w:pPr>
      <w:r>
        <w:t>trueplug_run/</w:t>
        <w:br/>
        <w:t>├── manifest/</w:t>
        <w:br/>
        <w:t>├── source/</w:t>
        <w:br/>
        <w:t>├── intake/</w:t>
        <w:br/>
        <w:t>├── graph/</w:t>
        <w:br/>
        <w:t>├── weights/</w:t>
        <w:br/>
        <w:t>├── fixtures/</w:t>
        <w:br/>
        <w:t>├── fake_fs/</w:t>
        <w:br/>
        <w:t>├── fake_db/</w:t>
        <w:br/>
        <w:t>├── fake_net/</w:t>
        <w:br/>
        <w:t>├── fake_web/</w:t>
        <w:br/>
        <w:t>├── fake_ui/</w:t>
        <w:br/>
        <w:t>├── plugin/</w:t>
        <w:br/>
        <w:t>├── logs/</w:t>
        <w:br/>
        <w:t>├── receipts/</w:t>
        <w:br/>
        <w:t>├── tests/</w:t>
        <w:br/>
        <w:t>├── snapshots/</w:t>
        <w:br/>
        <w:t>└── promotion/</w:t>
      </w:r>
    </w:p>
    <w:p>
      <w:pPr>
        <w:pStyle w:val="Heading2"/>
      </w:pPr>
      <w:r>
        <w:t>4.1 Required containment</w:t>
      </w:r>
    </w:p>
    <w:p>
      <w:pPr>
        <w:pStyle w:val="ListBullet"/>
      </w:pPr>
      <w:r>
        <w:t>Per-plugin process boundary.</w:t>
      </w:r>
    </w:p>
    <w:p>
      <w:pPr>
        <w:pStyle w:val="ListBullet"/>
      </w:pPr>
      <w:r>
        <w:t>Per-run environment boundary.</w:t>
      </w:r>
    </w:p>
    <w:p>
      <w:pPr>
        <w:pStyle w:val="ListBullet"/>
      </w:pPr>
      <w:r>
        <w:t>Disposable filesystem root.</w:t>
      </w:r>
    </w:p>
    <w:p>
      <w:pPr>
        <w:pStyle w:val="ListBullet"/>
      </w:pPr>
      <w:r>
        <w:t>Denied real network by default; fake/recorded network supplied as a development service.</w:t>
      </w:r>
    </w:p>
    <w:p>
      <w:pPr>
        <w:pStyle w:val="ListBullet"/>
      </w:pPr>
      <w:r>
        <w:t>Resource/time limits.</w:t>
      </w:r>
    </w:p>
    <w:p>
      <w:pPr>
        <w:pStyle w:val="ListBullet"/>
      </w:pPr>
      <w:r>
        <w:t>Captured stdout/stderr.</w:t>
      </w:r>
    </w:p>
    <w:p>
      <w:pPr>
        <w:pStyle w:val="ListBullet"/>
      </w:pPr>
      <w:r>
        <w:t>Hard termination and reset.</w:t>
      </w:r>
    </w:p>
    <w:p>
      <w:pPr>
        <w:pStyle w:val="ListBullet"/>
      </w:pPr>
      <w:r>
        <w:t>Snapshot and replay.</w:t>
      </w:r>
    </w:p>
    <w:p>
      <w:pPr>
        <w:pStyle w:val="ListBullet"/>
      </w:pPr>
      <w:r>
        <w:t>Complete content manifest using SHA-256.</w:t>
      </w:r>
    </w:p>
    <w:p>
      <w:pPr>
        <w:pStyle w:val="Heading1"/>
      </w:pPr>
      <w:r>
        <w:t>5. Synthetic World Services</w:t>
      </w:r>
    </w:p>
    <w:p>
      <w:r>
        <w:t>TruePlug should provide fake resources that behave enough like real dependencies to exercise plugins while keeping the experiment fully contained. The goal is deterministic testing, not perfect emulation of the outside world.</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8"/>
          </w:tcPr>
          <w:p>
            <w:r>
              <w:rPr>
                <w:b/>
                <w:color w:val="FFFFFF"/>
              </w:rPr>
              <w:t>Service</w:t>
            </w:r>
          </w:p>
        </w:tc>
        <w:tc>
          <w:tcPr>
            <w:tcW w:type="dxa" w:w="8496"/>
            <w:vAlign w:val="center"/>
            <w:shd w:fill="1F4E78"/>
          </w:tcPr>
          <w:p>
            <w:r>
              <w:rPr>
                <w:b/>
                <w:color w:val="FFFFFF"/>
              </w:rPr>
              <w:t>Minimum behavior</w:t>
            </w:r>
          </w:p>
        </w:tc>
      </w:tr>
      <w:tr>
        <w:tc>
          <w:tcPr>
            <w:tcW w:type="dxa" w:w="2304"/>
            <w:vAlign w:val="top"/>
          </w:tcPr>
          <w:p>
            <w:r>
              <w:t>FakeFilesystem</w:t>
            </w:r>
          </w:p>
        </w:tc>
        <w:tc>
          <w:tcPr>
            <w:tcW w:type="dxa" w:w="8496"/>
            <w:vAlign w:val="top"/>
          </w:tcPr>
          <w:p>
            <w:r>
              <w:t>Files, directories, metadata, permissions, failures, known hidden ground truth, reset/snapshot.</w:t>
            </w:r>
          </w:p>
        </w:tc>
      </w:tr>
      <w:tr>
        <w:tc>
          <w:tcPr>
            <w:tcW w:type="dxa" w:w="2304"/>
            <w:vAlign w:val="top"/>
          </w:tcPr>
          <w:p>
            <w:r>
              <w:t>FakeDatabase</w:t>
            </w:r>
          </w:p>
        </w:tc>
        <w:tc>
          <w:tcPr>
            <w:tcW w:type="dxa" w:w="8496"/>
            <w:vAlign w:val="top"/>
          </w:tcPr>
          <w:p>
            <w:r>
              <w:t>Tables/collections, read/write transactions, seeded data, corrupt/partial records, replay.</w:t>
            </w:r>
          </w:p>
        </w:tc>
      </w:tr>
      <w:tr>
        <w:tc>
          <w:tcPr>
            <w:tcW w:type="dxa" w:w="2304"/>
            <w:vAlign w:val="top"/>
          </w:tcPr>
          <w:p>
            <w:r>
              <w:t>FakeWeb</w:t>
            </w:r>
          </w:p>
        </w:tc>
        <w:tc>
          <w:tcPr>
            <w:tcW w:type="dxa" w:w="8496"/>
            <w:vAlign w:val="top"/>
          </w:tcPr>
          <w:p>
            <w:r>
              <w:t>Recorded/static pages, redirects, forms, rate limits, malformed content, version changes.</w:t>
            </w:r>
          </w:p>
        </w:tc>
      </w:tr>
      <w:tr>
        <w:tc>
          <w:tcPr>
            <w:tcW w:type="dxa" w:w="2304"/>
            <w:vAlign w:val="top"/>
          </w:tcPr>
          <w:p>
            <w:r>
              <w:t>FakeNetwork</w:t>
            </w:r>
          </w:p>
        </w:tc>
        <w:tc>
          <w:tcPr>
            <w:tcW w:type="dxa" w:w="8496"/>
            <w:vAlign w:val="top"/>
          </w:tcPr>
          <w:p>
            <w:r>
              <w:t>Named peers, ports, latency, failure, disconnect, protocol fixtures, denied routes.</w:t>
            </w:r>
          </w:p>
        </w:tc>
      </w:tr>
      <w:tr>
        <w:tc>
          <w:tcPr>
            <w:tcW w:type="dxa" w:w="2304"/>
            <w:vAlign w:val="top"/>
          </w:tcPr>
          <w:p>
            <w:r>
              <w:t>FakeHostAPI</w:t>
            </w:r>
          </w:p>
        </w:tc>
        <w:tc>
          <w:tcPr>
            <w:tcW w:type="dxa" w:w="8496"/>
            <w:vAlign w:val="top"/>
          </w:tcPr>
          <w:p>
            <w:r>
              <w:t>Stable host endpoints such as stats/config/models and future TrueSystems-like contracts.</w:t>
            </w:r>
          </w:p>
        </w:tc>
      </w:tr>
      <w:tr>
        <w:tc>
          <w:tcPr>
            <w:tcW w:type="dxa" w:w="2304"/>
            <w:vAlign w:val="top"/>
          </w:tcPr>
          <w:p>
            <w:r>
              <w:t>FakeUI</w:t>
            </w:r>
          </w:p>
        </w:tc>
        <w:tc>
          <w:tcPr>
            <w:tcW w:type="dxa" w:w="8496"/>
            <w:vAlign w:val="top"/>
          </w:tcPr>
          <w:p>
            <w:r>
              <w:t>Observable controls/state, enabled/disabled paths, expected postconditions, accessibility representation.</w:t>
            </w:r>
          </w:p>
        </w:tc>
      </w:tr>
      <w:tr>
        <w:tc>
          <w:tcPr>
            <w:tcW w:type="dxa" w:w="2304"/>
            <w:vAlign w:val="top"/>
          </w:tcPr>
          <w:p>
            <w:r>
              <w:t>FakeUserSession</w:t>
            </w:r>
          </w:p>
        </w:tc>
        <w:tc>
          <w:tcPr>
            <w:tcW w:type="dxa" w:w="8496"/>
            <w:vAlign w:val="top"/>
          </w:tcPr>
          <w:p>
            <w:r>
              <w:t>Declared identity, activity events, allowed actions, interruption/failure scenarios.</w:t>
            </w:r>
          </w:p>
        </w:tc>
      </w:tr>
    </w:tbl>
    <w:p/>
    <w:p>
      <w:r>
        <w:t>Every fake resource should expose initial state, allowed operations, known ground truth, fault injection, reset, snapshot, replay, and operation receipts.</w:t>
      </w:r>
    </w:p>
    <w:p>
      <w:pPr>
        <w:pStyle w:val="Heading1"/>
      </w:pPr>
      <w:r>
        <w:t>6. Intake Law</w:t>
      </w:r>
    </w:p>
    <w:p>
      <w:r>
        <w:t>Intake begins with exact observed structure, not semantic judgment. The dataset generator must preserve exact source identity and container boundaries.</w:t>
      </w:r>
    </w:p>
    <w:p>
      <w:pPr>
        <w:pStyle w:val="CodeBlock"/>
        <w:shd w:fill="F2F5F9"/>
      </w:pPr>
      <w:r>
        <w:t>dataset</w:t>
        <w:br/>
        <w:t>-&gt; document</w:t>
        <w:br/>
        <w:t>-&gt; paragraph</w:t>
        <w:br/>
        <w:t>-&gt; sentence</w:t>
        <w:br/>
        <w:t>-&gt; exact occurrence</w:t>
      </w:r>
    </w:p>
    <w:p>
      <w:r>
        <w:t>Each exact occurrence should retain at minimum:</w:t>
      </w:r>
    </w:p>
    <w:p>
      <w:pPr>
        <w:pStyle w:val="ListBullet"/>
      </w:pPr>
      <w:r>
        <w:t>dataset_id</w:t>
      </w:r>
    </w:p>
    <w:p>
      <w:pPr>
        <w:pStyle w:val="ListBullet"/>
      </w:pPr>
      <w:r>
        <w:t>document_id</w:t>
      </w:r>
    </w:p>
    <w:p>
      <w:pPr>
        <w:pStyle w:val="ListBullet"/>
      </w:pPr>
      <w:r>
        <w:t>container_id / parent chain</w:t>
      </w:r>
    </w:p>
    <w:p>
      <w:pPr>
        <w:pStyle w:val="ListBullet"/>
      </w:pPr>
      <w:r>
        <w:t>occurrence_id</w:t>
      </w:r>
    </w:p>
    <w:p>
      <w:pPr>
        <w:pStyle w:val="ListBullet"/>
      </w:pPr>
      <w:r>
        <w:t>exact text or object identity</w:t>
      </w:r>
    </w:p>
    <w:p>
      <w:pPr>
        <w:pStyle w:val="ListBullet"/>
      </w:pPr>
      <w:r>
        <w:t>ordinal and byte/span coordinates</w:t>
      </w:r>
    </w:p>
    <w:p>
      <w:pPr>
        <w:pStyle w:val="ListBullet"/>
      </w:pPr>
      <w:r>
        <w:t>source hash</w:t>
      </w:r>
    </w:p>
    <w:p>
      <w:pPr>
        <w:pStyle w:val="ListBullet"/>
      </w:pPr>
      <w:r>
        <w:t>source type</w:t>
      </w:r>
    </w:p>
    <w:p>
      <w:r>
        <w:t>No stemming, synonym merging, spelling correction, silent normalization, or semantic collapse is permitted in the evidence/intake layer. Derived views may be generated, but they never replace exact source custody.</w:t>
      </w:r>
    </w:p>
    <w:p>
      <w:pPr>
        <w:pStyle w:val="Heading1"/>
      </w:pPr>
      <w:r>
        <w:t>7. Relationship Geometry</w:t>
      </w:r>
    </w:p>
    <w:p>
      <w:r>
        <w:t>For one-dimensional ordered text, use a signed local field around each exact occurrence. A 6-left / center / 6-right frame is a useful default experiment, not a universal law.</w:t>
      </w:r>
    </w:p>
    <w:p>
      <w:pPr>
        <w:pStyle w:val="CodeBlock"/>
        <w:shd w:fill="F2F5F9"/>
      </w:pPr>
      <w:r>
        <w:t>... -6 -5 -4 -3 -2 -1 | CENTER | +1 +2 +3 +4 +5 +6 ...</w:t>
      </w:r>
    </w:p>
    <w:p>
      <w:r>
        <w:t>For every witnessed center/neighbor pair record:</w:t>
      </w:r>
    </w:p>
    <w:p>
      <w:pPr>
        <w:pStyle w:val="ListBullet"/>
      </w:pPr>
      <w:r>
        <w:t>center occurrence identity</w:t>
      </w:r>
    </w:p>
    <w:p>
      <w:pPr>
        <w:pStyle w:val="ListBullet"/>
      </w:pPr>
      <w:r>
        <w:t>neighbor occurrence identity</w:t>
      </w:r>
    </w:p>
    <w:p>
      <w:pPr>
        <w:pStyle w:val="ListBullet"/>
      </w:pPr>
      <w:r>
        <w:t>signed offset</w:t>
      </w:r>
    </w:p>
    <w:p>
      <w:pPr>
        <w:pStyle w:val="ListBullet"/>
      </w:pPr>
      <w:r>
        <w:t>absolute offset</w:t>
      </w:r>
    </w:p>
    <w:p>
      <w:pPr>
        <w:pStyle w:val="ListBullet"/>
      </w:pPr>
      <w:r>
        <w:t>same sentence / paragraph / document / dataset flags</w:t>
      </w:r>
    </w:p>
    <w:p>
      <w:pPr>
        <w:pStyle w:val="ListBullet"/>
      </w:pPr>
      <w:r>
        <w:t>complete source/container custody</w:t>
      </w:r>
    </w:p>
    <w:p>
      <w:pPr>
        <w:pStyle w:val="ListBullet"/>
      </w:pPr>
      <w:r>
        <w:t>witness location</w:t>
      </w:r>
    </w:p>
    <w:p>
      <w:r>
        <w:t>For code, images, logs, tables, graphs, or multidimensional data, geometry must follow the native structure. Do not flatten everything into 6-1-6.</w:t>
      </w:r>
    </w:p>
    <w:p>
      <w:pPr>
        <w:pStyle w:val="Heading1"/>
      </w:pPr>
      <w:r>
        <w:t>8. Weight: Measured Relationship Mass</w:t>
      </w:r>
    </w:p>
    <w:p>
      <w:r>
        <w:t>Weight is not an arbitrary semantic importance score. It is calculated from exact witnessed recurrence and geometry.</w:t>
      </w:r>
    </w:p>
    <w:p>
      <w:r>
        <w:rPr>
          <w:b/>
          <w:color w:val="142C50"/>
        </w:rPr>
        <w:t>Example question: "How many times did buildout occur two positions from this focused object?"</w:t>
      </w:r>
    </w:p>
    <w:p>
      <w:pPr>
        <w:pStyle w:val="CodeBlock"/>
        <w:shd w:fill="F2F5F9"/>
      </w:pPr>
      <w:r>
        <w:t>A -&gt; buildout @ -2 = 17</w:t>
        <w:br/>
        <w:t>A -&gt; buildout @ +2 = 41</w:t>
        <w:br/>
        <w:br/>
        <w:t>absolute distance 2 total = 58</w:t>
      </w:r>
    </w:p>
    <w:p>
      <w:r>
        <w:t>The sign must remain available because direction may matter. Aggregate projections are permitted only if raw signed counts remain recoverable.</w:t>
      </w:r>
    </w:p>
    <w:p>
      <w:pPr>
        <w:pStyle w:val="Heading2"/>
      </w:pPr>
      <w:r>
        <w:t>8.1 Full-document relationship weight</w:t>
      </w:r>
    </w:p>
    <w:p>
      <w:r>
        <w:t>For a focused pair A-&gt;B, compute the relationship over every exact witness in the admitted document/container, not only the currently displayed local window.</w:t>
      </w:r>
    </w:p>
    <w:p>
      <w:pPr>
        <w:pStyle w:val="ListBullet"/>
      </w:pPr>
      <w:r>
        <w:t>pair_occurrence_count</w:t>
      </w:r>
    </w:p>
    <w:p>
      <w:pPr>
        <w:pStyle w:val="ListBullet"/>
      </w:pPr>
      <w:r>
        <w:t>distinct_center_occurrences</w:t>
      </w:r>
    </w:p>
    <w:p>
      <w:pPr>
        <w:pStyle w:val="ListBullet"/>
      </w:pPr>
      <w:r>
        <w:t>distinct_neighbor_occurrences</w:t>
      </w:r>
    </w:p>
    <w:p>
      <w:pPr>
        <w:pStyle w:val="ListBullet"/>
      </w:pPr>
      <w:r>
        <w:t>signed_offset_histogram</w:t>
      </w:r>
    </w:p>
    <w:p>
      <w:pPr>
        <w:pStyle w:val="ListBullet"/>
      </w:pPr>
      <w:r>
        <w:t>absolute_distance_histogram</w:t>
      </w:r>
    </w:p>
    <w:p>
      <w:pPr>
        <w:pStyle w:val="ListBullet"/>
      </w:pPr>
      <w:r>
        <w:t>same_sentence_count</w:t>
      </w:r>
    </w:p>
    <w:p>
      <w:pPr>
        <w:pStyle w:val="ListBullet"/>
      </w:pPr>
      <w:r>
        <w:t>same_paragraph_count</w:t>
      </w:r>
    </w:p>
    <w:p>
      <w:pPr>
        <w:pStyle w:val="ListBullet"/>
      </w:pPr>
      <w:r>
        <w:t>document_count when crossing a multi-document dataset</w:t>
      </w:r>
    </w:p>
    <w:p>
      <w:pPr>
        <w:pStyle w:val="CodeBlock"/>
        <w:shd w:fill="F2F5F9"/>
      </w:pPr>
      <w:r>
        <w:t>pair_mass(A,B) = total exact witnessed A&lt;-&gt;B positional co-occurrences</w:t>
        <w:br/>
        <w:br/>
        <w:t>center_coverage(A,B) =</w:t>
        <w:br/>
        <w:t xml:space="preserve">  distinct A occurrences that witness B</w:t>
        <w:br/>
        <w:t xml:space="preserve">  ------------------------------------</w:t>
        <w:br/>
        <w:t xml:space="preserve">  total distinct A occurrences</w:t>
      </w:r>
    </w:p>
    <w:p>
      <w:r>
        <w:t>These measurements describe recurrence inside the admitted estate. They are not probabilities of truth.</w:t>
      </w:r>
    </w:p>
    <w:p>
      <w:pPr>
        <w:pStyle w:val="Heading2"/>
      </w:pPr>
      <w:r>
        <w:t>8.2 Positional pressure</w:t>
      </w:r>
    </w:p>
    <w:p>
      <w:r>
        <w:t>Traversal may use a separate bounded positional pressure channel while preserving raw counts. One clean rational form is:</w:t>
      </w:r>
    </w:p>
    <w:p>
      <w:pPr>
        <w:pStyle w:val="CodeBlock"/>
        <w:shd w:fill="F2F5F9"/>
      </w:pPr>
      <w:r>
        <w:t>pressure(distance) = (N - distance + 1) / N</w:t>
      </w:r>
    </w:p>
    <w:p>
      <w:r>
        <w:t>For N = 6:</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8"/>
          </w:tcPr>
          <w:p>
            <w:r>
              <w:rPr>
                <w:b/>
                <w:color w:val="FFFFFF"/>
              </w:rPr>
              <w:t>Distance</w:t>
            </w:r>
          </w:p>
        </w:tc>
        <w:tc>
          <w:tcPr>
            <w:tcW w:type="dxa" w:w="3168"/>
            <w:vAlign w:val="center"/>
            <w:shd w:fill="1F4E78"/>
          </w:tcPr>
          <w:p>
            <w:r>
              <w:rPr>
                <w:b/>
                <w:color w:val="FFFFFF"/>
              </w:rPr>
              <w:t>Pressure</w:t>
            </w:r>
          </w:p>
        </w:tc>
      </w:tr>
      <w:tr>
        <w:tc>
          <w:tcPr>
            <w:tcW w:type="dxa" w:w="3168"/>
            <w:vAlign w:val="top"/>
          </w:tcPr>
          <w:p>
            <w:r>
              <w:t>1</w:t>
            </w:r>
          </w:p>
        </w:tc>
        <w:tc>
          <w:tcPr>
            <w:tcW w:type="dxa" w:w="3168"/>
            <w:vAlign w:val="top"/>
          </w:tcPr>
          <w:p>
            <w:r>
              <w:t>6/6</w:t>
            </w:r>
          </w:p>
        </w:tc>
      </w:tr>
      <w:tr>
        <w:tc>
          <w:tcPr>
            <w:tcW w:type="dxa" w:w="3168"/>
            <w:vAlign w:val="top"/>
          </w:tcPr>
          <w:p>
            <w:r>
              <w:t>2</w:t>
            </w:r>
          </w:p>
        </w:tc>
        <w:tc>
          <w:tcPr>
            <w:tcW w:type="dxa" w:w="3168"/>
            <w:vAlign w:val="top"/>
          </w:tcPr>
          <w:p>
            <w:r>
              <w:t>5/6</w:t>
            </w:r>
          </w:p>
        </w:tc>
      </w:tr>
      <w:tr>
        <w:tc>
          <w:tcPr>
            <w:tcW w:type="dxa" w:w="3168"/>
            <w:vAlign w:val="top"/>
          </w:tcPr>
          <w:p>
            <w:r>
              <w:t>3</w:t>
            </w:r>
          </w:p>
        </w:tc>
        <w:tc>
          <w:tcPr>
            <w:tcW w:type="dxa" w:w="3168"/>
            <w:vAlign w:val="top"/>
          </w:tcPr>
          <w:p>
            <w:r>
              <w:t>4/6</w:t>
            </w:r>
          </w:p>
        </w:tc>
      </w:tr>
      <w:tr>
        <w:tc>
          <w:tcPr>
            <w:tcW w:type="dxa" w:w="3168"/>
            <w:vAlign w:val="top"/>
          </w:tcPr>
          <w:p>
            <w:r>
              <w:t>4</w:t>
            </w:r>
          </w:p>
        </w:tc>
        <w:tc>
          <w:tcPr>
            <w:tcW w:type="dxa" w:w="3168"/>
            <w:vAlign w:val="top"/>
          </w:tcPr>
          <w:p>
            <w:r>
              <w:t>3/6</w:t>
            </w:r>
          </w:p>
        </w:tc>
      </w:tr>
      <w:tr>
        <w:tc>
          <w:tcPr>
            <w:tcW w:type="dxa" w:w="3168"/>
            <w:vAlign w:val="top"/>
          </w:tcPr>
          <w:p>
            <w:r>
              <w:t>5</w:t>
            </w:r>
          </w:p>
        </w:tc>
        <w:tc>
          <w:tcPr>
            <w:tcW w:type="dxa" w:w="3168"/>
            <w:vAlign w:val="top"/>
          </w:tcPr>
          <w:p>
            <w:r>
              <w:t>2/6</w:t>
            </w:r>
          </w:p>
        </w:tc>
      </w:tr>
      <w:tr>
        <w:tc>
          <w:tcPr>
            <w:tcW w:type="dxa" w:w="3168"/>
            <w:vAlign w:val="top"/>
          </w:tcPr>
          <w:p>
            <w:r>
              <w:t>6</w:t>
            </w:r>
          </w:p>
        </w:tc>
        <w:tc>
          <w:tcPr>
            <w:tcW w:type="dxa" w:w="3168"/>
            <w:vAlign w:val="top"/>
          </w:tcPr>
          <w:p>
            <w:r>
              <w:t>1/6</w:t>
            </w:r>
          </w:p>
        </w:tc>
      </w:tr>
    </w:tbl>
    <w:p/>
    <w:p>
      <w:r>
        <w:t>If buildout occurs 41 times at +2, the weighted positional mass for that lane is 41 x 5/6 = 205/6. Store raw count, pressure numerator/denominator, distance, direction, and derived mass. Do not persist only a floating-point score.</w:t>
      </w:r>
    </w:p>
    <w:p>
      <w:pPr>
        <w:pStyle w:val="Heading1"/>
      </w:pPr>
      <w:r>
        <w:t>9. Deterministic Top-K</w:t>
      </w:r>
    </w:p>
    <w:p>
      <w:r>
        <w:t>Top-K is a traversal-control surface. It reduces branching while preserving the exact witnesses beneath each candidate.</w:t>
      </w:r>
    </w:p>
    <w:p>
      <w:r>
        <w:t>Each candidate may expose a ranking vector:</w:t>
      </w:r>
    </w:p>
    <w:p>
      <w:pPr>
        <w:pStyle w:val="ListBullet"/>
      </w:pPr>
      <w:r>
        <w:t>distinct-center coverage</w:t>
      </w:r>
    </w:p>
    <w:p>
      <w:pPr>
        <w:pStyle w:val="ListBullet"/>
      </w:pPr>
      <w:r>
        <w:t>total pair witness count</w:t>
      </w:r>
    </w:p>
    <w:p>
      <w:pPr>
        <w:pStyle w:val="ListBullet"/>
      </w:pPr>
      <w:r>
        <w:t>positional weighted mass</w:t>
      </w:r>
    </w:p>
    <w:p>
      <w:pPr>
        <w:pStyle w:val="ListBullet"/>
      </w:pPr>
      <w:r>
        <w:t>nearest observed distance</w:t>
      </w:r>
    </w:p>
    <w:p>
      <w:pPr>
        <w:pStyle w:val="ListBullet"/>
      </w:pPr>
      <w:r>
        <w:t>sentence support</w:t>
      </w:r>
    </w:p>
    <w:p>
      <w:pPr>
        <w:pStyle w:val="ListBullet"/>
      </w:pPr>
      <w:r>
        <w:t>paragraph support</w:t>
      </w:r>
    </w:p>
    <w:p>
      <w:pPr>
        <w:pStyle w:val="ListBullet"/>
      </w:pPr>
      <w:r>
        <w:t>document support</w:t>
      </w:r>
    </w:p>
    <w:p>
      <w:pPr>
        <w:pStyle w:val="ListBullet"/>
      </w:pPr>
      <w:r>
        <w:t>canonical first witness ordinal as deterministic tie-break</w:t>
      </w:r>
    </w:p>
    <w:p>
      <w:r>
        <w:t>Recommended first implementation: Top-K per signed lane, plus an optional overall view.</w:t>
      </w:r>
    </w:p>
    <w:p>
      <w:pPr>
        <w:pStyle w:val="CodeBlock"/>
        <w:shd w:fill="F2F5F9"/>
      </w:pPr>
      <w:r>
        <w:t>focus = A</w:t>
        <w:br/>
        <w:br/>
        <w:t>-2 lane:</w:t>
        <w:br/>
        <w:t xml:space="preserve">  buildout  raw_count=17</w:t>
        <w:br/>
        <w:t xml:space="preserve">  worker    raw_count=14</w:t>
        <w:br/>
        <w:t xml:space="preserve">  graph     raw_count=11</w:t>
        <w:br/>
        <w:br/>
        <w:t>+2 lane:</w:t>
        <w:br/>
        <w:t xml:space="preserve">  buildout  raw_count=41</w:t>
        <w:br/>
        <w:t xml:space="preserve">  plugin    raw_count=28</w:t>
        <w:br/>
        <w:t xml:space="preserve">  test      raw_count=19</w:t>
      </w:r>
    </w:p>
    <w:p>
      <w:r>
        <w:t>Per-lane Top-K prevents one globally dominant relationship from erasing different positional roles.</w:t>
      </w:r>
    </w:p>
    <w:p>
      <w:pPr>
        <w:pStyle w:val="Heading1"/>
      </w:pPr>
      <w:r>
        <w:t>10. Parent and Container Summaries</w:t>
      </w:r>
    </w:p>
    <w:p>
      <w:r>
        <w:t>A paragraph, document, plugin, project, or other parent may expose a derived summary of its children, but the summary never replaces the children.</w:t>
      </w:r>
    </w:p>
    <w:p>
      <w:pPr>
        <w:pStyle w:val="CodeBlock"/>
        <w:shd w:fill="F2F5F9"/>
      </w:pPr>
      <w:r>
        <w:t>document</w:t>
        <w:br/>
        <w:t>└── paragraph P</w:t>
        <w:br/>
        <w:t xml:space="preserve">    ├── A &lt;-&gt; buildout</w:t>
        <w:br/>
        <w:t xml:space="preserve">    ├── A &lt;-&gt; plugin</w:t>
        <w:br/>
        <w:t xml:space="preserve">    ├── A &lt;-&gt; graph</w:t>
        <w:br/>
        <w:t xml:space="preserve">    └── A &lt;-&gt; test</w:t>
      </w:r>
    </w:p>
    <w:p>
      <w:r>
        <w:t>A parent summary might report:</w:t>
      </w:r>
    </w:p>
    <w:p>
      <w:pPr>
        <w:pStyle w:val="CodeBlock"/>
        <w:shd w:fill="F2F5F9"/>
      </w:pPr>
      <w:r>
        <w:t>A &lt;-&gt; buildout</w:t>
        <w:br/>
        <w:t xml:space="preserve">  child_witness_count = 58</w:t>
        <w:br/>
        <w:t xml:space="preserve">  paragraphs_witnessed = 9</w:t>
        <w:br/>
        <w:t xml:space="preserve">  sentences_witnessed = 22</w:t>
        <w:br/>
        <w:t xml:space="preserve">  dominant_signed_offsets = [+2, -2]</w:t>
      </w:r>
    </w:p>
    <w:p>
      <w:r>
        <w:t>Any parent-level score must be a projection of measured child evidence, not a hand-tuned importance number.</w:t>
      </w:r>
    </w:p>
    <w:p>
      <w:pPr>
        <w:pStyle w:val="Heading1"/>
      </w:pPr>
      <w:r>
        <w:t>11. Relationship Decay and Takeover</w:t>
      </w:r>
    </w:p>
    <w:p>
      <w:r>
        <w:t>Historical relationships do not disappear merely because a traversal moves away from them. What decays is the active query's positional/path pressure. A different relationship may overtake as the focus recenters.</w:t>
      </w:r>
    </w:p>
    <w:p>
      <w:pPr>
        <w:pStyle w:val="CodeBlock"/>
        <w:shd w:fill="F2F5F9"/>
      </w:pPr>
      <w:r>
        <w:t>A -&gt; B -&gt; C -&gt; D</w:t>
        <w:br/>
        <w:br/>
        <w:t>historical_count: preserved</w:t>
        <w:br/>
        <w:t>current_focus_pressure: changes</w:t>
        <w:br/>
        <w:t>path_hops: increases</w:t>
        <w:br/>
        <w:t>current_parent: changes</w:t>
        <w:br/>
        <w:t>new local relationships: may overtake older ones</w:t>
      </w:r>
    </w:p>
    <w:p>
      <w:r>
        <w:t>This enables pseudo-reasoning-like movement without rewriting history. The graph retains what was witnessed; traversal priority changes with the current focus.</w:t>
      </w:r>
    </w:p>
    <w:p>
      <w:pPr>
        <w:pStyle w:val="Heading1"/>
      </w:pPr>
      <w:r>
        <w:t>12. Containment Rules</w:t>
      </w:r>
    </w:p>
    <w:p>
      <w:r>
        <w:t>Relationships must not silently cross unrelated containers.</w:t>
      </w:r>
    </w:p>
    <w:p>
      <w:pPr>
        <w:pStyle w:val="ListBullet"/>
      </w:pPr>
      <w:r>
        <w:t>Sentence-local relationships stay sentence-local.</w:t>
      </w:r>
    </w:p>
    <w:p>
      <w:pPr>
        <w:pStyle w:val="ListBullet"/>
      </w:pPr>
      <w:r>
        <w:t>Paragraph relationships stay inside the paragraph unless a separate document-level channel is explicitly used.</w:t>
      </w:r>
    </w:p>
    <w:p>
      <w:pPr>
        <w:pStyle w:val="ListBullet"/>
      </w:pPr>
      <w:r>
        <w:t>Document-local relationships do not become cross-document relationships by adjacency in storage.</w:t>
      </w:r>
    </w:p>
    <w:p>
      <w:pPr>
        <w:pStyle w:val="ListBullet"/>
      </w:pPr>
      <w:r>
        <w:t>Cross-document and cross-dataset edges require their own explicit witness/channel.</w:t>
      </w:r>
    </w:p>
    <w:p>
      <w:pPr>
        <w:pStyle w:val="ListBullet"/>
      </w:pPr>
      <w:r>
        <w:t>At natural edges, the local field contracts; it does not wrap into the next unrelated container.</w:t>
      </w:r>
    </w:p>
    <w:p>
      <w:pPr>
        <w:pStyle w:val="Heading1"/>
      </w:pPr>
      <w:r>
        <w:t>13. TruePlug Dataset Builder Contract</w:t>
      </w:r>
    </w:p>
    <w:p>
      <w:r>
        <w:t>Proposed worker/callable:</w:t>
      </w:r>
    </w:p>
    <w:p>
      <w:pPr>
        <w:pStyle w:val="CodeBlock"/>
        <w:shd w:fill="F2F5F9"/>
      </w:pPr>
      <w:r>
        <w:t>trueplug_dataset_build</w:t>
      </w:r>
    </w:p>
    <w:p>
      <w:r>
        <w:t>Example input:</w:t>
      </w:r>
    </w:p>
    <w:p>
      <w:pPr>
        <w:pStyle w:val="CodeBlock"/>
        <w:shd w:fill="F2F5F9"/>
      </w:pPr>
      <w:r>
        <w:t>{</w:t>
        <w:br/>
        <w:t xml:space="preserve">  "sandbox_id": "...",</w:t>
        <w:br/>
        <w:t xml:space="preserve">  "sources": ["..."],</w:t>
        <w:br/>
        <w:t xml:space="preserve">  "geometry": {</w:t>
        <w:br/>
        <w:t xml:space="preserve">    "type": "ordered_text",</w:t>
        <w:br/>
        <w:t xml:space="preserve">    "radius": 6</w:t>
        <w:br/>
        <w:t xml:space="preserve">  },</w:t>
        <w:br/>
        <w:t xml:space="preserve">  "containers": ["document", "paragraph", "sentence"],</w:t>
        <w:br/>
        <w:t xml:space="preserve">  "top_k": 3</w:t>
        <w:br/>
        <w:t>}</w:t>
      </w:r>
    </w:p>
    <w:p>
      <w:r>
        <w:t>Required outputs:</w:t>
      </w:r>
    </w:p>
    <w:p>
      <w:pPr>
        <w:pStyle w:val="ListBullet"/>
      </w:pPr>
      <w:r>
        <w:t>dataset manifest</w:t>
      </w:r>
    </w:p>
    <w:p>
      <w:pPr>
        <w:pStyle w:val="ListBullet"/>
      </w:pPr>
      <w:r>
        <w:t>exact source custody</w:t>
      </w:r>
    </w:p>
    <w:p>
      <w:pPr>
        <w:pStyle w:val="ListBullet"/>
      </w:pPr>
      <w:r>
        <w:t>occurrence table</w:t>
      </w:r>
    </w:p>
    <w:p>
      <w:pPr>
        <w:pStyle w:val="ListBullet"/>
      </w:pPr>
      <w:r>
        <w:t>container table</w:t>
      </w:r>
    </w:p>
    <w:p>
      <w:pPr>
        <w:pStyle w:val="ListBullet"/>
      </w:pPr>
      <w:r>
        <w:t>relationship witnesses</w:t>
      </w:r>
    </w:p>
    <w:p>
      <w:pPr>
        <w:pStyle w:val="ListBullet"/>
      </w:pPr>
      <w:r>
        <w:t>signed offset histograms</w:t>
      </w:r>
    </w:p>
    <w:p>
      <w:pPr>
        <w:pStyle w:val="ListBullet"/>
      </w:pPr>
      <w:r>
        <w:t>pair counts</w:t>
      </w:r>
    </w:p>
    <w:p>
      <w:pPr>
        <w:pStyle w:val="ListBullet"/>
      </w:pPr>
      <w:r>
        <w:t>parent summaries</w:t>
      </w:r>
    </w:p>
    <w:p>
      <w:pPr>
        <w:pStyle w:val="ListBullet"/>
      </w:pPr>
      <w:r>
        <w:t>Top-K views</w:t>
      </w:r>
    </w:p>
    <w:p>
      <w:pPr>
        <w:pStyle w:val="ListBullet"/>
      </w:pPr>
      <w:r>
        <w:t>operational metrics</w:t>
      </w:r>
    </w:p>
    <w:p>
      <w:pPr>
        <w:pStyle w:val="ListBullet"/>
      </w:pPr>
      <w:r>
        <w:t>source/content hashes</w:t>
      </w:r>
    </w:p>
    <w:p>
      <w:pPr>
        <w:pStyle w:val="ListBullet"/>
      </w:pPr>
      <w:r>
        <w:t>run receipt</w:t>
      </w:r>
    </w:p>
    <w:p>
      <w:r>
        <w:t>The builder returns structure and measurements, not answers or truth judgments.</w:t>
      </w:r>
    </w:p>
    <w:p>
      <w:pPr>
        <w:pStyle w:val="Heading1"/>
      </w:pPr>
      <w:r>
        <w:t>14. ARC / Self-Learning Assembler Loop</w:t>
      </w:r>
    </w:p>
    <w:p>
      <w:r>
        <w:t>ARC and the assembler should consume the contained world, graph, counts, Top-K views, worker outputs, and receipts. They should not receive direct access to live TrueSystems.</w:t>
      </w:r>
    </w:p>
    <w:p>
      <w:pPr>
        <w:pStyle w:val="CodeBlock"/>
        <w:shd w:fill="F2F5F9"/>
      </w:pPr>
      <w:r>
        <w:t>synthetic world</w:t>
        <w:br/>
        <w:t>-&gt; intake</w:t>
        <w:br/>
        <w:t>-&gt; graph</w:t>
        <w:br/>
        <w:t>-&gt; measured weights</w:t>
        <w:br/>
        <w:t>-&gt; Top-K traversal</w:t>
        <w:br/>
        <w:t>-&gt; observed operation sequence</w:t>
        <w:br/>
        <w:t>-&gt; repeated-pattern detection</w:t>
        <w:br/>
        <w:t>-&gt; candidate plugin assembly</w:t>
        <w:br/>
        <w:t>-&gt; run in containment</w:t>
        <w:br/>
        <w:t>-&gt; observe effects</w:t>
        <w:br/>
        <w:t>-&gt; retry/refine</w:t>
        <w:br/>
        <w:t>-&gt; qualification</w:t>
      </w:r>
    </w:p>
    <w:p>
      <w:r>
        <w:t>The graph narrows the candidate space; counts rank recurrence; Top-K bounds branching; ARC explores; the assembler produces a reusable candidate.</w:t>
      </w:r>
    </w:p>
    <w:p>
      <w:pPr>
        <w:pStyle w:val="Heading1"/>
      </w:pPr>
      <w:r>
        <w:t>15. Curriculum / Difficulty Generator</w:t>
      </w:r>
    </w:p>
    <w:p>
      <w:r>
        <w:t>Because TruePlug creates the world, it knows the ground truth. This lets it generate its own qualification curriculum instead of depending exclusively on generic benchmarks.</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F4E78"/>
          </w:tcPr>
          <w:p>
            <w:r>
              <w:rPr>
                <w:b/>
                <w:color w:val="FFFFFF"/>
              </w:rPr>
              <w:t>Level</w:t>
            </w:r>
          </w:p>
        </w:tc>
        <w:tc>
          <w:tcPr>
            <w:tcW w:type="dxa" w:w="9504"/>
            <w:vAlign w:val="center"/>
            <w:shd w:fill="1F4E78"/>
          </w:tcPr>
          <w:p>
            <w:r>
              <w:rPr>
                <w:b/>
                <w:color w:val="FFFFFF"/>
              </w:rPr>
              <w:t>Example world</w:t>
            </w:r>
          </w:p>
        </w:tc>
      </w:tr>
      <w:tr>
        <w:tc>
          <w:tcPr>
            <w:tcW w:type="dxa" w:w="1152"/>
            <w:vAlign w:val="top"/>
          </w:tcPr>
          <w:p>
            <w:r>
              <w:t>1</w:t>
            </w:r>
          </w:p>
        </w:tc>
        <w:tc>
          <w:tcPr>
            <w:tcW w:type="dxa" w:w="9504"/>
            <w:vAlign w:val="top"/>
          </w:tcPr>
          <w:p>
            <w:r>
              <w:t>10 clean files, unique names, one valid path.</w:t>
            </w:r>
          </w:p>
        </w:tc>
      </w:tr>
      <w:tr>
        <w:tc>
          <w:tcPr>
            <w:tcW w:type="dxa" w:w="1152"/>
            <w:vAlign w:val="top"/>
          </w:tcPr>
          <w:p>
            <w:r>
              <w:t>2</w:t>
            </w:r>
          </w:p>
        </w:tc>
        <w:tc>
          <w:tcPr>
            <w:tcW w:type="dxa" w:w="9504"/>
            <w:vAlign w:val="top"/>
          </w:tcPr>
          <w:p>
            <w:r>
              <w:t>100 files, duplicates, one misleading path.</w:t>
            </w:r>
          </w:p>
        </w:tc>
      </w:tr>
      <w:tr>
        <w:tc>
          <w:tcPr>
            <w:tcW w:type="dxa" w:w="1152"/>
            <w:vAlign w:val="top"/>
          </w:tcPr>
          <w:p>
            <w:r>
              <w:t>3</w:t>
            </w:r>
          </w:p>
        </w:tc>
        <w:tc>
          <w:tcPr>
            <w:tcW w:type="dxa" w:w="9504"/>
            <w:vAlign w:val="top"/>
          </w:tcPr>
          <w:p>
            <w:r>
              <w:t>1,000 files, broken references, ambiguous naming, orphaned objects.</w:t>
            </w:r>
          </w:p>
        </w:tc>
      </w:tr>
      <w:tr>
        <w:tc>
          <w:tcPr>
            <w:tcW w:type="dxa" w:w="1152"/>
            <w:vAlign w:val="top"/>
          </w:tcPr>
          <w:p>
            <w:r>
              <w:t>4</w:t>
            </w:r>
          </w:p>
        </w:tc>
        <w:tc>
          <w:tcPr>
            <w:tcW w:type="dxa" w:w="9504"/>
            <w:vAlign w:val="top"/>
          </w:tcPr>
          <w:p>
            <w:r>
              <w:t>Fake DB + filesystem + HTTP with controlled side effects.</w:t>
            </w:r>
          </w:p>
        </w:tc>
      </w:tr>
      <w:tr>
        <w:tc>
          <w:tcPr>
            <w:tcW w:type="dxa" w:w="1152"/>
            <w:vAlign w:val="top"/>
          </w:tcPr>
          <w:p>
            <w:r>
              <w:t>5</w:t>
            </w:r>
          </w:p>
        </w:tc>
        <w:tc>
          <w:tcPr>
            <w:tcW w:type="dxa" w:w="9504"/>
            <w:vAlign w:val="top"/>
          </w:tcPr>
          <w:p>
            <w:r>
              <w:t>Vendor/help documentation disagrees with witnessed behavior.</w:t>
            </w:r>
          </w:p>
        </w:tc>
      </w:tr>
      <w:tr>
        <w:tc>
          <w:tcPr>
            <w:tcW w:type="dxa" w:w="1152"/>
            <w:vAlign w:val="top"/>
          </w:tcPr>
          <w:p>
            <w:r>
              <w:t>6</w:t>
            </w:r>
          </w:p>
        </w:tc>
        <w:tc>
          <w:tcPr>
            <w:tcW w:type="dxa" w:w="9504"/>
            <w:vAlign w:val="top"/>
          </w:tcPr>
          <w:p>
            <w:r>
              <w:t>Declared permissions intentionally insufficient.</w:t>
            </w:r>
          </w:p>
        </w:tc>
      </w:tr>
      <w:tr>
        <w:tc>
          <w:tcPr>
            <w:tcW w:type="dxa" w:w="1152"/>
            <w:vAlign w:val="top"/>
          </w:tcPr>
          <w:p>
            <w:r>
              <w:t>7</w:t>
            </w:r>
          </w:p>
        </w:tc>
        <w:tc>
          <w:tcPr>
            <w:tcW w:type="dxa" w:w="9504"/>
            <w:vAlign w:val="top"/>
          </w:tcPr>
          <w:p>
            <w:r>
              <w:t>Malicious-looking but benign surface to test false-positive resistance.</w:t>
            </w:r>
          </w:p>
        </w:tc>
      </w:tr>
      <w:tr>
        <w:tc>
          <w:tcPr>
            <w:tcW w:type="dxa" w:w="1152"/>
            <w:vAlign w:val="top"/>
          </w:tcPr>
          <w:p>
            <w:r>
              <w:t>8</w:t>
            </w:r>
          </w:p>
        </w:tc>
        <w:tc>
          <w:tcPr>
            <w:tcW w:type="dxa" w:w="9504"/>
            <w:vAlign w:val="top"/>
          </w:tcPr>
          <w:p>
            <w:r>
              <w:t>Actual prohibited behavior inside containment to test denial and receipts.</w:t>
            </w:r>
          </w:p>
        </w:tc>
      </w:tr>
    </w:tbl>
    <w:p/>
    <w:p>
      <w:r>
        <w:t>Difficulty should be adjustable independently by dataset size, relationship distance, ambiguity, noise, contradiction, failure injection, and number of cooperating services.</w:t>
      </w:r>
    </w:p>
    <w:p>
      <w:pPr>
        <w:pStyle w:val="Heading1"/>
      </w:pPr>
      <w:r>
        <w:t>16. Plugin Factory</w:t>
      </w:r>
    </w:p>
    <w:p>
      <w:r>
        <w:t>When repeated successful workflows stabilize, the assembler may generate a candidate plugin.</w:t>
      </w:r>
    </w:p>
    <w:p>
      <w:pPr>
        <w:pStyle w:val="CodeBlock"/>
        <w:shd w:fill="F2F5F9"/>
      </w:pPr>
      <w:r>
        <w:t>observed workflow</w:t>
        <w:br/>
        <w:t>-&gt; candidate capability definition</w:t>
        <w:br/>
        <w:t>-&gt; generated callable</w:t>
        <w:br/>
        <w:t>-&gt; typed arguments</w:t>
        <w:br/>
        <w:t>-&gt; effect declaration</w:t>
        <w:br/>
        <w:t>-&gt; generated fixtures</w:t>
        <w:br/>
        <w:t>-&gt; generated tests</w:t>
        <w:br/>
        <w:t>-&gt; detached execution</w:t>
        <w:br/>
        <w:t>-&gt; replay</w:t>
        <w:br/>
        <w:t>-&gt; qualification</w:t>
      </w:r>
    </w:p>
    <w:p>
      <w:r>
        <w:t>Candidate package:</w:t>
      </w:r>
    </w:p>
    <w:p>
      <w:pPr>
        <w:pStyle w:val="CodeBlock"/>
        <w:shd w:fill="F2F5F9"/>
      </w:pPr>
      <w:r>
        <w:t>plugin/</w:t>
        <w:br/>
        <w:t>├── manifest.json</w:t>
        <w:br/>
        <w:t>├── callable/</w:t>
        <w:br/>
        <w:t>├── schemas/</w:t>
        <w:br/>
        <w:t>├── tests/</w:t>
        <w:br/>
        <w:t>├── fixtures/</w:t>
        <w:br/>
        <w:t>├── effect_manifest.json</w:t>
        <w:br/>
        <w:t>├── permission_request.json</w:t>
        <w:br/>
        <w:t>├── hashes.json</w:t>
        <w:br/>
        <w:t>├── qualification.json</w:t>
        <w:br/>
        <w:t>└── receipts/</w:t>
      </w:r>
    </w:p>
    <w:p>
      <w:pPr>
        <w:pStyle w:val="Heading1"/>
      </w:pPr>
      <w:r>
        <w:t>17. Promotion Boundary</w:t>
      </w:r>
    </w:p>
    <w:p>
      <w:r>
        <w:t>TruePlug may say that a candidate passed the detached development contract. Only TrueCore may say that the candidate is admitted and may exercise specific production capabilities.</w:t>
      </w:r>
    </w:p>
    <w:p>
      <w:r>
        <w:t>Do not use aggregate readiness scoring. Every mandatory gate passes independently.</w:t>
      </w:r>
    </w:p>
    <w:p>
      <w:pPr>
        <w:pStyle w:val="ListBullet"/>
      </w:pPr>
      <w:r>
        <w:t>SOURCE_HASHED</w:t>
      </w:r>
    </w:p>
    <w:p>
      <w:pPr>
        <w:pStyle w:val="ListBullet"/>
      </w:pPr>
      <w:r>
        <w:t>SANDBOX_CONTAINED</w:t>
      </w:r>
    </w:p>
    <w:p>
      <w:pPr>
        <w:pStyle w:val="ListBullet"/>
      </w:pPr>
      <w:r>
        <w:t>MANIFEST_VALID</w:t>
      </w:r>
    </w:p>
    <w:p>
      <w:pPr>
        <w:pStyle w:val="ListBullet"/>
      </w:pPr>
      <w:r>
        <w:t>ENTRYPOINT_LOADS</w:t>
      </w:r>
    </w:p>
    <w:p>
      <w:pPr>
        <w:pStyle w:val="ListBullet"/>
      </w:pPr>
      <w:r>
        <w:t>SCHEMAS_VALID</w:t>
      </w:r>
    </w:p>
    <w:p>
      <w:pPr>
        <w:pStyle w:val="ListBullet"/>
      </w:pPr>
      <w:r>
        <w:t>TESTS_PASS</w:t>
      </w:r>
    </w:p>
    <w:p>
      <w:pPr>
        <w:pStyle w:val="ListBullet"/>
      </w:pPr>
      <w:r>
        <w:t>EFFECTS_WITNESSED</w:t>
      </w:r>
    </w:p>
    <w:p>
      <w:pPr>
        <w:pStyle w:val="ListBullet"/>
      </w:pPr>
      <w:r>
        <w:t>PERMISSIONS_DECLARED</w:t>
      </w:r>
    </w:p>
    <w:p>
      <w:pPr>
        <w:pStyle w:val="ListBullet"/>
      </w:pPr>
      <w:r>
        <w:t>FILESYSTEM_CONTAINED</w:t>
      </w:r>
    </w:p>
    <w:p>
      <w:pPr>
        <w:pStyle w:val="ListBullet"/>
      </w:pPr>
      <w:r>
        <w:t>NETWORK_CONTAINED</w:t>
      </w:r>
    </w:p>
    <w:p>
      <w:pPr>
        <w:pStyle w:val="ListBullet"/>
      </w:pPr>
      <w:r>
        <w:t>RESOURCE_LIMITS_PASS</w:t>
      </w:r>
    </w:p>
    <w:p>
      <w:pPr>
        <w:pStyle w:val="ListBullet"/>
      </w:pPr>
      <w:r>
        <w:t>REPLAY_PASS</w:t>
      </w:r>
    </w:p>
    <w:p>
      <w:pPr>
        <w:pStyle w:val="ListBullet"/>
      </w:pPr>
      <w:r>
        <w:t>FAILURE_BEHAVIOR_WITNESSED</w:t>
      </w:r>
    </w:p>
    <w:p>
      <w:pPr>
        <w:pStyle w:val="ListBullet"/>
      </w:pPr>
      <w:r>
        <w:t>NO_CRITICAL_UNRESOLVED</w:t>
      </w:r>
    </w:p>
    <w:p>
      <w:pPr>
        <w:pStyle w:val="ListBullet"/>
      </w:pPr>
      <w:r>
        <w:t>PACKAGE_IMMUTABLE</w:t>
      </w:r>
    </w:p>
    <w:p>
      <w:pPr>
        <w:pStyle w:val="Heading1"/>
      </w:pPr>
      <w:r>
        <w:t>18. What Must Not Be Ported as Authority</w:t>
      </w:r>
    </w:p>
    <w:p>
      <w:r>
        <w:t>The old Forest tools contain useful mechanics and bad labels. Preserve the mechanics; re-derive the measurements.</w:t>
      </w:r>
    </w:p>
    <w:tbl>
      <w:tblPr>
        <w:tblStyle w:val="TableGrid"/>
        <w:tblW w:type="auto" w:w="0"/>
        <w:jc w:val="center"/>
        <w:tblLook w:firstColumn="1" w:firstRow="1" w:lastColumn="0" w:lastRow="0" w:noHBand="0" w:noVBand="1" w:val="04A0"/>
      </w:tblPr>
      <w:tblGrid>
        <w:gridCol w:w="4968"/>
        <w:gridCol w:w="4968"/>
      </w:tblGrid>
      <w:tr>
        <w:tc>
          <w:tcPr>
            <w:tcW w:type="dxa" w:w="4752"/>
            <w:vAlign w:val="center"/>
            <w:shd w:fill="1F4E78"/>
          </w:tcPr>
          <w:p>
            <w:r>
              <w:rPr>
                <w:b/>
                <w:color w:val="FFFFFF"/>
              </w:rPr>
              <w:t>Old behavior</w:t>
            </w:r>
          </w:p>
        </w:tc>
        <w:tc>
          <w:tcPr>
            <w:tcW w:type="dxa" w:w="5904"/>
            <w:vAlign w:val="center"/>
            <w:shd w:fill="1F4E78"/>
          </w:tcPr>
          <w:p>
            <w:r>
              <w:rPr>
                <w:b/>
                <w:color w:val="FFFFFF"/>
              </w:rPr>
              <w:t>Disposition</w:t>
            </w:r>
          </w:p>
        </w:tc>
      </w:tr>
      <w:tr>
        <w:tc>
          <w:tcPr>
            <w:tcW w:type="dxa" w:w="4752"/>
            <w:vAlign w:val="top"/>
          </w:tcPr>
          <w:p>
            <w:r>
              <w:t>Character-overlap called semantic similarity</w:t>
            </w:r>
          </w:p>
        </w:tc>
        <w:tc>
          <w:tcPr>
            <w:tcW w:type="dxa" w:w="5904"/>
            <w:vAlign w:val="top"/>
          </w:tcPr>
          <w:p>
            <w:r>
              <w:t>Reject as semantic authority. May remain only as an explicitly labeled lexical experiment.</w:t>
            </w:r>
          </w:p>
        </w:tc>
      </w:tr>
      <w:tr>
        <w:tc>
          <w:tcPr>
            <w:tcW w:type="dxa" w:w="4752"/>
            <w:vAlign w:val="top"/>
          </w:tcPr>
          <w:p>
            <w:r>
              <w:t>Word length treated as semantic importance</w:t>
            </w:r>
          </w:p>
        </w:tc>
        <w:tc>
          <w:tcPr>
            <w:tcW w:type="dxa" w:w="5904"/>
            <w:vAlign w:val="top"/>
          </w:tcPr>
          <w:p>
            <w:r>
              <w:t>Reject.</w:t>
            </w:r>
          </w:p>
        </w:tc>
      </w:tr>
      <w:tr>
        <w:tc>
          <w:tcPr>
            <w:tcW w:type="dxa" w:w="4752"/>
            <w:vAlign w:val="top"/>
          </w:tcPr>
          <w:p>
            <w:r>
              <w:t>Hard-coded frequencyWeight = 0.7</w:t>
            </w:r>
          </w:p>
        </w:tc>
        <w:tc>
          <w:tcPr>
            <w:tcW w:type="dxa" w:w="5904"/>
            <w:vAlign w:val="top"/>
          </w:tcPr>
          <w:p>
            <w:r>
              <w:t>Reject.</w:t>
            </w:r>
          </w:p>
        </w:tc>
      </w:tr>
      <w:tr>
        <w:tc>
          <w:tcPr>
            <w:tcW w:type="dxa" w:w="4752"/>
            <w:vAlign w:val="top"/>
          </w:tcPr>
          <w:p>
            <w:r>
              <w:t>Semantic richness percentages</w:t>
            </w:r>
          </w:p>
        </w:tc>
        <w:tc>
          <w:tcPr>
            <w:tcW w:type="dxa" w:w="5904"/>
            <w:vAlign w:val="top"/>
          </w:tcPr>
          <w:p>
            <w:r>
              <w:t>Reject unless redefined as an exact, auditable measurement.</w:t>
            </w:r>
          </w:p>
        </w:tc>
      </w:tr>
      <w:tr>
        <w:tc>
          <w:tcPr>
            <w:tcW w:type="dxa" w:w="4752"/>
            <w:vAlign w:val="top"/>
          </w:tcPr>
          <w:p>
            <w:r>
              <w:t>Context strength slider presented as accuracy</w:t>
            </w:r>
          </w:p>
        </w:tc>
        <w:tc>
          <w:tcPr>
            <w:tcW w:type="dxa" w:w="5904"/>
            <w:vAlign w:val="top"/>
          </w:tcPr>
          <w:p>
            <w:r>
              <w:t>Reject the accuracy claim.</w:t>
            </w:r>
          </w:p>
        </w:tc>
      </w:tr>
      <w:tr>
        <w:tc>
          <w:tcPr>
            <w:tcW w:type="dxa" w:w="4752"/>
            <w:vAlign w:val="top"/>
          </w:tcPr>
          <w:p>
            <w:r>
              <w:t>Positional intake and relationship export</w:t>
            </w:r>
          </w:p>
        </w:tc>
        <w:tc>
          <w:tcPr>
            <w:tcW w:type="dxa" w:w="5904"/>
            <w:vAlign w:val="top"/>
          </w:tcPr>
          <w:p>
            <w:r>
              <w:t>Retain/refit.</w:t>
            </w:r>
          </w:p>
        </w:tc>
      </w:tr>
      <w:tr>
        <w:tc>
          <w:tcPr>
            <w:tcW w:type="dxa" w:w="4752"/>
            <w:vAlign w:val="top"/>
          </w:tcPr>
          <w:p>
            <w:r>
              <w:t>Local browser-only processing</w:t>
            </w:r>
          </w:p>
        </w:tc>
        <w:tc>
          <w:tcPr>
            <w:tcW w:type="dxa" w:w="5904"/>
            <w:vAlign w:val="top"/>
          </w:tcPr>
          <w:p>
            <w:r>
              <w:t>Retain as an architectural pattern.</w:t>
            </w:r>
          </w:p>
        </w:tc>
      </w:tr>
      <w:tr>
        <w:tc>
          <w:tcPr>
            <w:tcW w:type="dxa" w:w="4752"/>
            <w:vAlign w:val="top"/>
          </w:tcPr>
          <w:p>
            <w:r>
              <w:t>CSV/JSON/JSONL metadata-rich exports</w:t>
            </w:r>
          </w:p>
        </w:tc>
        <w:tc>
          <w:tcPr>
            <w:tcW w:type="dxa" w:w="5904"/>
            <w:vAlign w:val="top"/>
          </w:tcPr>
          <w:p>
            <w:r>
              <w:t>Retain/refit under common TruePlug schemas.</w:t>
            </w:r>
          </w:p>
        </w:tc>
      </w:tr>
    </w:tbl>
    <w:p/>
    <w:p>
      <w:pPr>
        <w:pStyle w:val="Heading1"/>
      </w:pPr>
      <w:r>
        <w:t>19. First Engineering Build Order</w:t>
      </w:r>
    </w:p>
    <w:p>
      <w:pPr>
        <w:pStyle w:val="ListNumber"/>
      </w:pPr>
      <w:r>
        <w:t>Recover the existing runner without redesigning its proven discovery, mounting, mock-host, fixture, health, route-inspection, and external-scan behavior.</w:t>
      </w:r>
    </w:p>
    <w:p>
      <w:pPr>
        <w:pStyle w:val="ListNumber"/>
      </w:pPr>
      <w:r>
        <w:t>Add real sandbox boundaries: per-plugin process, workspace, environment, filesystem, network policy, resource limits, stdout/stderr capture, hard reset.</w:t>
      </w:r>
    </w:p>
    <w:p>
      <w:pPr>
        <w:pStyle w:val="ListNumber"/>
      </w:pPr>
      <w:r>
        <w:t>Extract the old HTML intake/mapping mechanics into a headless library. Do not port the UI as a dependency.</w:t>
      </w:r>
    </w:p>
    <w:p>
      <w:pPr>
        <w:pStyle w:val="ListNumber"/>
      </w:pPr>
      <w:r>
        <w:t>Implement exact occurrence/container identity and source hashing.</w:t>
      </w:r>
    </w:p>
    <w:p>
      <w:pPr>
        <w:pStyle w:val="ListNumber"/>
      </w:pPr>
      <w:r>
        <w:t>Implement signed positional relationship witnesses.</w:t>
      </w:r>
    </w:p>
    <w:p>
      <w:pPr>
        <w:pStyle w:val="ListNumber"/>
      </w:pPr>
      <w:r>
        <w:t>Implement full-document counts and histograms.</w:t>
      </w:r>
    </w:p>
    <w:p>
      <w:pPr>
        <w:pStyle w:val="ListNumber"/>
      </w:pPr>
      <w:r>
        <w:t>Implement rational positional pressure as a separate traversal channel.</w:t>
      </w:r>
    </w:p>
    <w:p>
      <w:pPr>
        <w:pStyle w:val="ListNumber"/>
      </w:pPr>
      <w:r>
        <w:t>Implement deterministic Top-K per signed lane and overall summary.</w:t>
      </w:r>
    </w:p>
    <w:p>
      <w:pPr>
        <w:pStyle w:val="ListNumber"/>
      </w:pPr>
      <w:r>
        <w:t>Implement parent/container summaries that drill back to child witnesses.</w:t>
      </w:r>
    </w:p>
    <w:p>
      <w:pPr>
        <w:pStyle w:val="ListNumber"/>
      </w:pPr>
      <w:r>
        <w:t>Implement relationship-pressure decay/takeover without deleting historical relationships.</w:t>
      </w:r>
    </w:p>
    <w:p>
      <w:pPr>
        <w:pStyle w:val="ListNumber"/>
      </w:pPr>
      <w:r>
        <w:t>Add synthetic filesystem, database, and HTTP services first; network/UI services can follow.</w:t>
      </w:r>
    </w:p>
    <w:p>
      <w:pPr>
        <w:pStyle w:val="ListNumber"/>
      </w:pPr>
      <w:r>
        <w:t>Expose only contained world state, graph, weights, Top-K, worker outputs, and receipts to ARC.</w:t>
      </w:r>
    </w:p>
    <w:p>
      <w:pPr>
        <w:pStyle w:val="ListNumber"/>
      </w:pPr>
      <w:r>
        <w:t>Add candidate-plugin scaffolding and assembler output.</w:t>
      </w:r>
    </w:p>
    <w:p>
      <w:pPr>
        <w:pStyle w:val="ListNumber"/>
      </w:pPr>
      <w:r>
        <w:t>Run mandatory qualification gates and create immutable promotion packets.</w:t>
      </w:r>
    </w:p>
    <w:p>
      <w:pPr>
        <w:pStyle w:val="ListNumber"/>
      </w:pPr>
      <w:r>
        <w:t>Hand off to TrueCore. Do not self-admit.</w:t>
      </w:r>
    </w:p>
    <w:p>
      <w:pPr>
        <w:pStyle w:val="Heading1"/>
      </w:pPr>
      <w:r>
        <w:t>20. Required Operational Reports</w:t>
      </w:r>
    </w:p>
    <w:p>
      <w:r>
        <w:t>Every run should produce a detailed report sufficient for another engineer to replay and audit the build.</w:t>
      </w:r>
    </w:p>
    <w:p>
      <w:pPr>
        <w:pStyle w:val="ListBullet"/>
      </w:pPr>
      <w:r>
        <w:t>run ID and timestamp</w:t>
      </w:r>
    </w:p>
    <w:p>
      <w:pPr>
        <w:pStyle w:val="ListBullet"/>
      </w:pPr>
      <w:r>
        <w:t>sandbox image/version</w:t>
      </w:r>
    </w:p>
    <w:p>
      <w:pPr>
        <w:pStyle w:val="ListBullet"/>
      </w:pPr>
      <w:r>
        <w:t>input source hashes</w:t>
      </w:r>
    </w:p>
    <w:p>
      <w:pPr>
        <w:pStyle w:val="ListBullet"/>
      </w:pPr>
      <w:r>
        <w:t>dataset counts</w:t>
      </w:r>
    </w:p>
    <w:p>
      <w:pPr>
        <w:pStyle w:val="ListBullet"/>
      </w:pPr>
      <w:r>
        <w:t>container counts</w:t>
      </w:r>
    </w:p>
    <w:p>
      <w:pPr>
        <w:pStyle w:val="ListBullet"/>
      </w:pPr>
      <w:r>
        <w:t>relationship counts</w:t>
      </w:r>
    </w:p>
    <w:p>
      <w:pPr>
        <w:pStyle w:val="ListBullet"/>
      </w:pPr>
      <w:r>
        <w:t>weight/count formulas used</w:t>
      </w:r>
    </w:p>
    <w:p>
      <w:pPr>
        <w:pStyle w:val="ListBullet"/>
      </w:pPr>
      <w:r>
        <w:t>Top-K configuration and tie-break rules</w:t>
      </w:r>
    </w:p>
    <w:p>
      <w:pPr>
        <w:pStyle w:val="ListBullet"/>
      </w:pPr>
      <w:r>
        <w:t>resource limits</w:t>
      </w:r>
    </w:p>
    <w:p>
      <w:pPr>
        <w:pStyle w:val="ListBullet"/>
      </w:pPr>
      <w:r>
        <w:t>fixture versions</w:t>
      </w:r>
    </w:p>
    <w:p>
      <w:pPr>
        <w:pStyle w:val="ListBullet"/>
      </w:pPr>
      <w:r>
        <w:t>plugin content manifest</w:t>
      </w:r>
    </w:p>
    <w:p>
      <w:pPr>
        <w:pStyle w:val="ListBullet"/>
      </w:pPr>
      <w:r>
        <w:t>all observed effects</w:t>
      </w:r>
    </w:p>
    <w:p>
      <w:pPr>
        <w:pStyle w:val="ListBullet"/>
      </w:pPr>
      <w:r>
        <w:t>all failures and retries</w:t>
      </w:r>
    </w:p>
    <w:p>
      <w:pPr>
        <w:pStyle w:val="ListBullet"/>
      </w:pPr>
      <w:r>
        <w:t>test results</w:t>
      </w:r>
    </w:p>
    <w:p>
      <w:pPr>
        <w:pStyle w:val="ListBullet"/>
      </w:pPr>
      <w:r>
        <w:t>replay result</w:t>
      </w:r>
    </w:p>
    <w:p>
      <w:pPr>
        <w:pStyle w:val="ListBullet"/>
      </w:pPr>
      <w:r>
        <w:t>qualification gate results</w:t>
      </w:r>
    </w:p>
    <w:p>
      <w:pPr>
        <w:pStyle w:val="ListBullet"/>
      </w:pPr>
      <w:r>
        <w:t>final package hash</w:t>
      </w:r>
    </w:p>
    <w:p>
      <w:pPr>
        <w:pStyle w:val="Heading1"/>
      </w:pPr>
      <w:r>
        <w:t>21. Non-Negotiable Laws</w:t>
      </w:r>
    </w:p>
    <w:p>
      <w:r>
        <w:rPr>
          <w:b/>
        </w:rPr>
        <w:t>1. Exact admitted source remains unchanged and recoverable.</w:t>
      </w:r>
    </w:p>
    <w:p>
      <w:r>
        <w:rPr>
          <w:b w:val="0"/>
        </w:rPr>
        <w:t>2. Derived graphs, counts, summaries, and Top-K views never replace source custody.</w:t>
      </w:r>
    </w:p>
    <w:p>
      <w:r>
        <w:rPr>
          <w:b/>
        </w:rPr>
        <w:t>3. Relationship weight comes from measured witnesses, not arbitrary semantic scores.</w:t>
      </w:r>
    </w:p>
    <w:p>
      <w:r>
        <w:rPr>
          <w:b w:val="0"/>
        </w:rPr>
        <w:t>4. Raw counts remain available beneath every aggregate.</w:t>
      </w:r>
    </w:p>
    <w:p>
      <w:r>
        <w:rPr>
          <w:b w:val="0"/>
        </w:rPr>
        <w:t>5. Signed direction and containment remain recoverable.</w:t>
      </w:r>
    </w:p>
    <w:p>
      <w:r>
        <w:rPr>
          <w:b w:val="0"/>
        </w:rPr>
        <w:t>6. 6-1-6 is a useful ordered-data view, not a universal geometry.</w:t>
      </w:r>
    </w:p>
    <w:p>
      <w:r>
        <w:rPr>
          <w:b w:val="0"/>
        </w:rPr>
        <w:t>7. Top-K controls traversal; it does not certify truth.</w:t>
      </w:r>
    </w:p>
    <w:p>
      <w:r>
        <w:rPr>
          <w:b w:val="0"/>
        </w:rPr>
        <w:t>8. Historical relationships are not deleted by active-focus decay.</w:t>
      </w:r>
    </w:p>
    <w:p>
      <w:r>
        <w:rPr>
          <w:b w:val="0"/>
        </w:rPr>
        <w:t>9. Parent summaries must be derived from children and remain drillable.</w:t>
      </w:r>
    </w:p>
    <w:p>
      <w:r>
        <w:rPr>
          <w:b/>
        </w:rPr>
        <w:t>10. Synthetic-world success does not grant production authority.</w:t>
      </w:r>
    </w:p>
    <w:p>
      <w:r>
        <w:rPr>
          <w:b/>
        </w:rPr>
        <w:t>11. ARC and the assembler may propose and build; they may not admit.</w:t>
      </w:r>
    </w:p>
    <w:p>
      <w:r>
        <w:rPr>
          <w:b/>
        </w:rPr>
        <w:t>12. TruePlug qualifies for submission; TrueCore admits.</w:t>
      </w:r>
    </w:p>
    <w:p>
      <w:r>
        <w:rPr>
          <w:b w:val="0"/>
        </w:rPr>
        <w:t>13. Nothing crosses the sandbox boundary without an explicit export/promotion operation and receipt.</w:t>
      </w:r>
    </w:p>
    <w:p>
      <w:pPr>
        <w:pStyle w:val="Heading1"/>
      </w:pPr>
      <w:r>
        <w:t>22. Definition of Done for the First Real TruePlug Build</w:t>
      </w:r>
    </w:p>
    <w:p>
      <w:pPr>
        <w:pStyle w:val="ListBullet"/>
      </w:pPr>
      <w:r>
        <w:t>A plugin can be developed and executed without sharing the TruePlug supervisor process.</w:t>
      </w:r>
    </w:p>
    <w:p>
      <w:pPr>
        <w:pStyle w:val="ListBullet"/>
      </w:pPr>
      <w:r>
        <w:t>The plugin cannot see the normal host filesystem or network by default.</w:t>
      </w:r>
    </w:p>
    <w:p>
      <w:pPr>
        <w:pStyle w:val="ListBullet"/>
      </w:pPr>
      <w:r>
        <w:t>A synthetic dataset can be generated entirely inside the sandbox.</w:t>
      </w:r>
    </w:p>
    <w:p>
      <w:pPr>
        <w:pStyle w:val="ListBullet"/>
      </w:pPr>
      <w:r>
        <w:t>The intake layer preserves exact source/container/occurrence identity.</w:t>
      </w:r>
    </w:p>
    <w:p>
      <w:pPr>
        <w:pStyle w:val="ListBullet"/>
      </w:pPr>
      <w:r>
        <w:t>Signed positional relationships and full-document recurrence counts are reproducible.</w:t>
      </w:r>
    </w:p>
    <w:p>
      <w:pPr>
        <w:pStyle w:val="ListBullet"/>
      </w:pPr>
      <w:r>
        <w:t>Top-K results replay exactly from the same source and configuration.</w:t>
      </w:r>
    </w:p>
    <w:p>
      <w:pPr>
        <w:pStyle w:val="ListBullet"/>
      </w:pPr>
      <w:r>
        <w:t>ARC can traverse the contained graph and propose next operations without live-system access.</w:t>
      </w:r>
    </w:p>
    <w:p>
      <w:pPr>
        <w:pStyle w:val="ListBullet"/>
      </w:pPr>
      <w:r>
        <w:t>The assembler can emit a candidate plugin package.</w:t>
      </w:r>
    </w:p>
    <w:p>
      <w:pPr>
        <w:pStyle w:val="ListBullet"/>
      </w:pPr>
      <w:r>
        <w:t>The candidate can be replay-tested from a clean sandbox.</w:t>
      </w:r>
    </w:p>
    <w:p>
      <w:pPr>
        <w:pStyle w:val="ListBullet"/>
      </w:pPr>
      <w:r>
        <w:t>All mandatory gates produce witnessed pass/fail results.</w:t>
      </w:r>
    </w:p>
    <w:p>
      <w:pPr>
        <w:pStyle w:val="ListBullet"/>
      </w:pPr>
      <w:r>
        <w:t>The final candidate is immutable and hash-addressed.</w:t>
      </w:r>
    </w:p>
    <w:p>
      <w:pPr>
        <w:pStyle w:val="ListBullet"/>
      </w:pPr>
      <w:r>
        <w:t>No candidate can self-register or obtain production authority.</w:t>
      </w:r>
    </w:p>
    <w:p>
      <w:pPr>
        <w:pStyle w:val="Heading1"/>
      </w:pPr>
      <w:r>
        <w:t>23. Implementation Note for Future Builders</w:t>
      </w:r>
    </w:p>
    <w:p>
      <w:r>
        <w:t>Do not start by making this 'smart.' Start by making it exact, contained, fast, and replayable. The intelligence comes from the combination of a rich synthetic world, measured relationships, deterministic Top-K traversal, ARC exploration, and an assembler that can turn repeated successful workflows into candidate capabilities.</w:t>
      </w:r>
    </w:p>
    <w:p>
      <w:r>
        <w:t>When uncertain, prefer another observable field over another hand-tuned score. Prefer a raw count over a confidence number. Prefer a source address over copied source cargo. Prefer a mandatory gate over a readiness percentage. Prefer a disposable sandbox over trusting a tool.</w:t>
      </w:r>
    </w:p>
    <w:p>
      <w:pPr>
        <w:pStyle w:val="Heading1"/>
      </w:pPr>
      <w:r>
        <w:t>24. Reference Artifacts Used for This Specification</w:t>
      </w:r>
    </w:p>
    <w:p>
      <w:pPr>
        <w:pStyle w:val="ListBullet"/>
      </w:pPr>
      <w:r>
        <w:t>ClearboxPluginRunner / TruePlug archaeology: detached plugin runner, mock host, fixtures, discovery, inspection, and promotion-preparation behavior.</w:t>
      </w:r>
    </w:p>
    <w:p>
      <w:pPr>
        <w:pStyle w:val="ListBullet"/>
      </w:pPr>
      <w:r>
        <w:t>forest_semantic_mapper_real.html: compact local intake, positional relationship generation, export, and metrics pattern.</w:t>
      </w:r>
    </w:p>
    <w:p>
      <w:pPr>
        <w:pStyle w:val="ListBullet"/>
      </w:pPr>
      <w:r>
        <w:t>forest_semantic_mapper.html: multi-file intake, adjustable relationship depth, combined dataset export, and examples of heuristic scoring that should not be promoted as authority.</w:t>
      </w:r>
    </w:p>
    <w:p>
      <w:pPr>
        <w:pStyle w:val="ListBullet"/>
      </w:pPr>
      <w:r>
        <w:t>Current TrueSystems laws: exact source custody, location/relationship evidence, bounded traversal, separated authority, mandatory qualification, and TrueCore/TrueMachine ownership.</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570"/>
        <w:sz w:val="16"/>
      </w:rPr>
      <w:t>TruePlug Contained Dataset &amp; Plugin Factory - Engineering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C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53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22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C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