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B7FE" w14:textId="77777777" w:rsidR="008022F8" w:rsidRPr="008022F8" w:rsidRDefault="008022F8" w:rsidP="00802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Non-Technical Summary of Risk Drivers and Decision-Justification Methodology</w:t>
      </w:r>
    </w:p>
    <w:p w14:paraId="716863FC" w14:textId="77777777" w:rsidR="008022F8" w:rsidRPr="008022F8" w:rsidRDefault="008022F8" w:rsidP="00802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drives loan default risk in the model?</w:t>
      </w:r>
    </w:p>
    <w:p w14:paraId="4CD0BD25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Our analysis identified several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drivers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that consistently influence whether an applicant is assessed as higher or lower risk. These findings are based on both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permutation importance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value analysis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which independently ranked the same core factors:</w:t>
      </w:r>
    </w:p>
    <w:p w14:paraId="7EF5255B" w14:textId="77777777" w:rsidR="008022F8" w:rsidRPr="008022F8" w:rsidRDefault="008022F8" w:rsidP="0080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Score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– Applicants with lower credit scores consistently show higher predicted risk. This feature has the strongest and most consistent contribution to model outputs.</w:t>
      </w:r>
    </w:p>
    <w:p w14:paraId="1DA70A00" w14:textId="77777777" w:rsidR="008022F8" w:rsidRPr="008022F8" w:rsidRDefault="008022F8" w:rsidP="0080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Debt-to-Income Ratio (DTI)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– Higher DTI levels significantly increase default risk because they indicate tighter cash flow and less financial resilience.</w:t>
      </w:r>
    </w:p>
    <w:p w14:paraId="2C3751E1" w14:textId="77777777" w:rsidR="008022F8" w:rsidRPr="008022F8" w:rsidRDefault="008022F8" w:rsidP="0080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Late Payments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– A history of late or missed payments increases risk, signaling prior difficulty managing credit obligations.</w:t>
      </w:r>
    </w:p>
    <w:p w14:paraId="614D0133" w14:textId="77777777" w:rsidR="008022F8" w:rsidRPr="008022F8" w:rsidRDefault="008022F8" w:rsidP="0080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Level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– Lower income levels contribute to higher risk due to reduced capacity to absorb financial shocks.</w:t>
      </w:r>
    </w:p>
    <w:p w14:paraId="6233E0E9" w14:textId="77777777" w:rsidR="008022F8" w:rsidRPr="008022F8" w:rsidRDefault="008022F8" w:rsidP="00802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Amount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– Larger requested loan amounts slightly increase the likelihood of default, as they may impose a higher repayment burden.</w:t>
      </w:r>
    </w:p>
    <w:p w14:paraId="7B482D3F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Across all models, these patterns remain stable: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behavior and repayment history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are the most predictive factors, rather than demographic characteristics.</w:t>
      </w:r>
    </w:p>
    <w:p w14:paraId="1AFCCB97" w14:textId="77777777" w:rsidR="008022F8" w:rsidRPr="008022F8" w:rsidRDefault="008022F8" w:rsidP="00802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pict w14:anchorId="62606513">
          <v:rect id="_x0000_i1025" style="width:0;height:1.5pt" o:hralign="center" o:hrstd="t" o:hr="t" fillcolor="#a0a0a0" stroked="f"/>
        </w:pict>
      </w:r>
    </w:p>
    <w:p w14:paraId="6F1B2383" w14:textId="77777777" w:rsidR="008022F8" w:rsidRPr="008022F8" w:rsidRDefault="008022F8" w:rsidP="00802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How the model explains individual decisions</w:t>
      </w:r>
    </w:p>
    <w:p w14:paraId="7F2E599D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To ensure transparency in risk decisions, we use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(Shapley Additive Explanations)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, a state-of-the-art interpretability method. SHAP breaks down each prediction into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feature-level contributions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showing:</w:t>
      </w:r>
    </w:p>
    <w:p w14:paraId="3030D426" w14:textId="77777777" w:rsidR="008022F8" w:rsidRPr="008022F8" w:rsidRDefault="008022F8" w:rsidP="0080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specific factors increased an applicant’s risk score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5C476FDF" w14:textId="77777777" w:rsidR="008022F8" w:rsidRPr="008022F8" w:rsidRDefault="008022F8" w:rsidP="00802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factors reduced the risk score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br/>
        <w:t>for that exact individual.</w:t>
      </w:r>
    </w:p>
    <w:p w14:paraId="3B9BB573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For every evaluated applicant, we generated:</w:t>
      </w:r>
    </w:p>
    <w:p w14:paraId="5F8CC4C8" w14:textId="77777777" w:rsidR="008022F8" w:rsidRPr="008022F8" w:rsidRDefault="008022F8" w:rsidP="0080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 force plots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that visually show how each feature pushes the prediction higher or lower.</w:t>
      </w:r>
    </w:p>
    <w:p w14:paraId="36661BDA" w14:textId="77777777" w:rsidR="008022F8" w:rsidRPr="008022F8" w:rsidRDefault="008022F8" w:rsidP="008022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SHAP summaries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that list the top factors influencing the borrower’s assessed risk.</w:t>
      </w:r>
    </w:p>
    <w:p w14:paraId="064742F4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loan officers, auditors, and applicants to understand </w:t>
      </w:r>
      <w:r w:rsidRPr="008022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the model made a particular decision—not just </w:t>
      </w:r>
      <w:r w:rsidRPr="008022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the decision was.</w:t>
      </w:r>
    </w:p>
    <w:p w14:paraId="76E04C6D" w14:textId="77777777" w:rsidR="008022F8" w:rsidRPr="008022F8" w:rsidRDefault="008022F8" w:rsidP="00802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1265D7">
          <v:rect id="_x0000_i1026" style="width:0;height:1.5pt" o:hralign="center" o:hrstd="t" o:hr="t" fillcolor="#a0a0a0" stroked="f"/>
        </w:pict>
      </w:r>
    </w:p>
    <w:p w14:paraId="15E0DDDF" w14:textId="77777777" w:rsidR="008022F8" w:rsidRPr="008022F8" w:rsidRDefault="008022F8" w:rsidP="00802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fairness and potential bias were assessed</w:t>
      </w:r>
    </w:p>
    <w:p w14:paraId="6EAC799E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To ensure equitable treatment, we compared the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SHAP contributions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of key financial and application features between:</w:t>
      </w:r>
    </w:p>
    <w:p w14:paraId="69C298C8" w14:textId="77777777" w:rsidR="008022F8" w:rsidRPr="008022F8" w:rsidRDefault="008022F8" w:rsidP="00802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borrowers who defaulted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696C308E" w14:textId="77777777" w:rsidR="008022F8" w:rsidRPr="008022F8" w:rsidRDefault="008022F8" w:rsidP="008022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borrowers who did not default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FBA1C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This helps identify whether the model systematically places extra risk weight on certain features for one group versus another.</w:t>
      </w:r>
    </w:p>
    <w:p w14:paraId="02E3AE0D" w14:textId="77777777" w:rsidR="008022F8" w:rsidRPr="008022F8" w:rsidRDefault="008022F8" w:rsidP="00802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The findings show that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differences in feature impact align with actual financial risk signals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such as credit history and debt burden. No indications were found that non-financial characteristics were producing disproportionate risk shifts.</w:t>
      </w:r>
    </w:p>
    <w:p w14:paraId="7398CF28" w14:textId="77777777" w:rsidR="008022F8" w:rsidRPr="008022F8" w:rsidRDefault="008022F8" w:rsidP="008022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pict w14:anchorId="07D9BE14">
          <v:rect id="_x0000_i1027" style="width:0;height:1.5pt" o:hralign="center" o:hrstd="t" o:hr="t" fillcolor="#a0a0a0" stroked="f"/>
        </w:pict>
      </w:r>
    </w:p>
    <w:p w14:paraId="485038B4" w14:textId="77777777" w:rsidR="008022F8" w:rsidRPr="008022F8" w:rsidRDefault="008022F8" w:rsidP="00802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2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Summary: What this means for stakeholders</w:t>
      </w:r>
    </w:p>
    <w:p w14:paraId="489C3605" w14:textId="77777777" w:rsidR="008022F8" w:rsidRPr="008022F8" w:rsidRDefault="008022F8" w:rsidP="00802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The model’s decisions are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driven by established financial risk factors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>, not arbitrary or opaque variables.</w:t>
      </w:r>
    </w:p>
    <w:p w14:paraId="2BD1357C" w14:textId="77777777" w:rsidR="008022F8" w:rsidRPr="008022F8" w:rsidRDefault="008022F8" w:rsidP="00802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Individual risk assessments can be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explained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through SHAP-based breakdowns.</w:t>
      </w:r>
    </w:p>
    <w:p w14:paraId="13FD9D75" w14:textId="77777777" w:rsidR="008022F8" w:rsidRPr="008022F8" w:rsidRDefault="008022F8" w:rsidP="00802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Bias assessment shows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systemic unfair weighting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beyond genuine financial indicators.</w:t>
      </w:r>
    </w:p>
    <w:p w14:paraId="038E48F4" w14:textId="77777777" w:rsidR="008022F8" w:rsidRPr="008022F8" w:rsidRDefault="008022F8" w:rsidP="008022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This approach supports </w:t>
      </w:r>
      <w:r w:rsidRPr="008022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transparent, defensible, and auditable credit decisioning</w:t>
      </w:r>
      <w:r w:rsidRPr="008022F8">
        <w:rPr>
          <w:rFonts w:ascii="Times New Roman" w:eastAsia="Times New Roman" w:hAnsi="Times New Roman" w:cs="Times New Roman"/>
          <w:kern w:val="0"/>
          <w14:ligatures w14:val="none"/>
        </w:rPr>
        <w:t xml:space="preserve"> aligned with regulatory expectations.</w:t>
      </w:r>
    </w:p>
    <w:p w14:paraId="472D5E40" w14:textId="77777777" w:rsidR="008022F8" w:rsidRDefault="008022F8"/>
    <w:sectPr w:rsidR="00802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9B0"/>
    <w:multiLevelType w:val="multilevel"/>
    <w:tmpl w:val="E6C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3F83"/>
    <w:multiLevelType w:val="multilevel"/>
    <w:tmpl w:val="88F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F030D"/>
    <w:multiLevelType w:val="multilevel"/>
    <w:tmpl w:val="9534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D341F"/>
    <w:multiLevelType w:val="multilevel"/>
    <w:tmpl w:val="7DA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D0A0F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072664">
    <w:abstractNumId w:val="2"/>
  </w:num>
  <w:num w:numId="2" w16cid:durableId="1259947848">
    <w:abstractNumId w:val="4"/>
  </w:num>
  <w:num w:numId="3" w16cid:durableId="1805154205">
    <w:abstractNumId w:val="3"/>
  </w:num>
  <w:num w:numId="4" w16cid:durableId="1342508616">
    <w:abstractNumId w:val="1"/>
  </w:num>
  <w:num w:numId="5" w16cid:durableId="213178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F8"/>
    <w:rsid w:val="00197210"/>
    <w:rsid w:val="002D0861"/>
    <w:rsid w:val="003D4D76"/>
    <w:rsid w:val="004014B1"/>
    <w:rsid w:val="0071619D"/>
    <w:rsid w:val="008022F8"/>
    <w:rsid w:val="00AF03A9"/>
    <w:rsid w:val="00C74F9D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E7C3"/>
  <w15:chartTrackingRefBased/>
  <w15:docId w15:val="{7C0B286C-44C5-461D-B891-26DE58D4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2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2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2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2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22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2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2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2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2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2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2F8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22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022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2025-11-21T04:45:00Z</dcterms:created>
  <dcterms:modified xsi:type="dcterms:W3CDTF">2025-11-21T04:46:00Z</dcterms:modified>
</cp:coreProperties>
</file>