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OVERVIEW OF OTHER INCOME IN INCOME TAX ACT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Income from other sources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is the last among the five heads of income sketched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under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the Income Tax Act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. 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is essentially 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a head of income that includes all receipts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which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 xml:space="preserve"> cannot be classified under any of the other heads of income.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 w:cs="SimSu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Income from Other Sources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include,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1. Dividends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Dividends are taxable based on the residential status of the source company that paid out the dividend.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2. Dividend from an Indian company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If any company has paid Dividend Distribution Tax (DDT) on this receipt of income, the dividend is exempted from tax.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3. Dividend from a foreign company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Dividend received from any foreign company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is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subject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ed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to taxation under ‘Income from Other Sources.’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4. One-time income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One-time incomes as lotteries, horse races,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gambling or betting of any form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comes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under ‘Income from Other Sources.’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5. Interest on compensation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Interest received by you on the amount of compensation paid out in situations such as compulsory acquisition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falls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under ‘Income from Other Sources’ head.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6. Gifts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Gifts received in the form of  money, movable or immovable property,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is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also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claimed to be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taxable.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Income received from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leasing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a house property by a tenant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Insurance commissions received by assesse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 (person)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Casual income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Family pension payments received by lawful heirs of dead employees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Interest earned on deposits with companies and bank deposits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Interest on loans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Salary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received by the Members of Parliament (MP)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Rental income earned from a vacant plot of land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Agricultural income received from land situated outside of India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Interest paid by Government on excess payment of advance tax</w:t>
      </w:r>
    </w:p>
    <w:p>
      <w:pPr>
        <w:jc w:val="both"/>
        <w:rPr>
          <w:rFonts w:hint="default"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4" w:lineRule="atLeast"/>
        <w:ind w:left="0" w:right="0" w:firstLine="0"/>
        <w:jc w:val="left"/>
        <w:rPr>
          <w:rFonts w:hint="default" w:ascii="Times New Roman" w:hAnsi="Times New Roman" w:eastAsia="PT 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PT Serif" w:cs="Times New Roman"/>
          <w:b/>
          <w:bCs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TAX IN INDIA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The 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"https://www.canarahsbclife.com/tax-university/articles/a-quick-guide-to-income-tax-act-1961-of-india.html" \t "https://www.canarahsbclife.com/faqs/tax-saving/_blank" </w:instrTex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Noto Sans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Income Tax Act 1961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 lists ‘Income from Other Sources’ as one of the five heads of incomes, subject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ed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to taxation. Income From Other Sources 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covers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 xml:space="preserve"> all receipts of earnings that otherwise cannot be classified under any remaining heads of income.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Under Section 56 of the Act, the following three conditions must be satisfied for a receipt of earning to come under the ‘income from other sources’ head –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1. You have an income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2. Such income is not tax-exempt under any other Sections of the Income Tax Act 1961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3. Such income cannot be categorized as salary, profits, and gains from business or profession, income from house property, or capital gains</w:t>
      </w:r>
      <w:r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eastAsia="Noto Sans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36" w:lineRule="atLeast"/>
        <w:ind w:left="0" w:right="0" w:firstLine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WHY SHOULD ONE NOT NEGLECT THIS HEAD OF INCOME: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The income tax department has been more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observant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on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any mistake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while filing income tax return (ITR)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that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can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in turn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fetc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h the assessee,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a tax notice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The situation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becomes critical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if the department finds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the person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guilty of tax evasion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Heavy penalties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are charged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if under-report or misreport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income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occurs.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M</w:t>
      </w: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ISREPORTING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Any wrong information is classified as misrepresentation when there is suppression of facts. For example, there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may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be a failure to record investments or any receipt in the books of account.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Or, 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here can be any expenditure that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ha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s been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claimed as deduction which is not supported by any document or false entry. These acts are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8"/>
          <w:szCs w:val="28"/>
          <w:lang w:val="en-US"/>
        </w:rPr>
        <w:t>collectively combined under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misrepresentation as there is a breach of trust in such transactions.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U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NDER - REPORTING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Under-reporting can happen due to ignorance. For example, many people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may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forget to include interest income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or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capital gains in their ITR. But any deliberate attempt to give wrong information can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possibl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y lead to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imprisonment and penalty under Section 277 of the income tax Act.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But if the mistake is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8"/>
          <w:szCs w:val="28"/>
          <w:lang w:val="en-US"/>
        </w:rPr>
        <w:t>realized,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 then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can always be rectified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If one does not file the revised ITR form, then the department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issue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penalty as per the relevant Income Tax Rules. For under-reporting, there is 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50%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penalty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It is 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mandatory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to pa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attention to all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possible sources of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income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earned during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a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year so that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there is no chaos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8"/>
          <w:szCs w:val="28"/>
          <w:lang w:val="en-US"/>
        </w:rPr>
        <w:t>arisen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. Even an honest mistake can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cost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a heavy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damage.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righ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BY,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48" w:lineRule="atLeast"/>
        <w:ind w:left="0" w:right="0" w:firstLine="0"/>
        <w:jc w:val="right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KALAIVANI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">
    <w:panose1 w:val="020B0502040504020204"/>
    <w:charset w:val="00"/>
    <w:family w:val="auto"/>
    <w:pitch w:val="default"/>
    <w:sig w:usb0="E00082FF" w:usb1="400078FF" w:usb2="00000021" w:usb3="00000000" w:csb0="2000019F" w:csb1="DFD7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AA038"/>
    <w:multiLevelType w:val="singleLevel"/>
    <w:tmpl w:val="DD0AA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51946"/>
    <w:rsid w:val="21DA6711"/>
    <w:rsid w:val="5135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2022-04-20T13:41:00Z</dcterms:created>
  <dc:creator>kvkv6</dc:creator>
  <cp:lastModifiedBy>kalai kv</cp:lastModifiedBy>
  <dcterms:modified xsi:type="dcterms:W3CDTF">2022-04-20T15:29:51Z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2C8CDB9A91E847AD858BD6BD634B846B</vt:lpwstr>
  </property>
</Properties>
</file>