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PAYMENT OF WAGES UNDER MGNREGA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1856740" cy="1546860"/>
            <wp:effectExtent l="0" t="0" r="2540" b="7620"/>
            <wp:docPr id="2" name="Picture 2" descr="MGNREGA-Jalandhar-Recrui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GNREGA-Jalandhar-Recruit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The Mahatma Gandhi National Rural Employment Guarantee Act (MGNREGA), also known as Mahatma Gandhi National Rural Employment Guarantee Scheme (MNREGS)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was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enacted on August 25, 2005</w:t>
      </w:r>
      <w:bookmarkStart w:id="0" w:name="section1"/>
      <w:bookmarkEnd w:id="0"/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with an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objective to enhance livelihood security in rural areas by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offer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ing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100 days of guaranteed wage employment to every adu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lt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volunteer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from a household willing to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do unskilled manual work.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bookmarkStart w:id="12" w:name="_GoBack"/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PROCESS AND TRANSFER OF WAGES:</w:t>
      </w:r>
    </w:p>
    <w:bookmarkEnd w:id="12"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STEP 1: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Firstly, the worker has to register at the Gram Panchayat (GP).</w:t>
      </w:r>
    </w:p>
    <w:p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STEP 2: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The GP provides the household with a job card that is a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valid document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officially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signed by the concerned officer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 mandatory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for opening a bank account under the Know Your Customer (KYC) norms.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STEP 3: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The registered workers request for work at the GP, which is allocated and provided.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STEP 4: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Attendance of the worker and amount of work done is taken into account seriously and wages are prepared accordingly.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STEP 5: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Once work period is over, the details are recorded into the online server of MGNREGA.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STEP 6: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On successful approval, the funds are transferred and credited directly to the respective bank accounts.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bookmarkStart w:id="1" w:name="section3"/>
      <w:bookmarkEnd w:id="1"/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AUTHORITY: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Payment Committee is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constituted by the DPC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(Chief Executive Officer of the District Panchayat) along with the c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oncerned GP and PO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(Program Officer) which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comprise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 of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GP Head/Sarpanch or Traditional Tribal Head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 t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wo women SHG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(Self Help Group)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members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Lato" w:cs="Times New Roman"/>
          <w:i w:val="0"/>
          <w:iCs w:val="0"/>
          <w:color w:val="auto"/>
          <w:spacing w:val="0"/>
          <w:sz w:val="24"/>
          <w:szCs w:val="24"/>
          <w:shd w:val="clear" w:fill="FFFFFF"/>
          <w:lang w:val="en-US"/>
        </w:rPr>
        <w:t>at-least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three MGNREGA workers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of which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one should be a woman and at least one should be from SC/ST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and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School headmaster/teacher.</w:t>
      </w:r>
    </w:p>
    <w:p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It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the duty of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the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appoin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ted DPC or PO to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identify step-wise and sub- processes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that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lead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to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payment of wages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and to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fix activity-wise maximum time limits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WAGES:</w:t>
      </w:r>
    </w:p>
    <w:p>
      <w:pPr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MGNREGA wages are paid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totally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based on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 work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done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The actual wage is calculated based on the output of the worker.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As per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Section 3(3) of the Act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disbursement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(payment)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of daily wages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is positive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on a weekly basis or in any case not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more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than a fortnight after the date on which work was done.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Also,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there shall be no discrimination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in providing the wages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on the ground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of gender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under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provisions of the Equal Remuneration Act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COMPENSATION ON DELAY IN WAGES:</w:t>
      </w:r>
    </w:p>
    <w:p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As per the system, MGNREGA workers are entitled to receive delay compensation at a rate of 0.05 per cent of the unpaid wages per day for the duration of the delay beyond the sixteenth day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Lato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TO OBSTRUCT DELAY: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line="264" w:lineRule="atLeast"/>
        <w:ind w:left="0" w:firstLine="0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MGNREGA continues to help millions of rural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Indians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economically. However, delays i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payments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may have an optimal impact and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must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be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cease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to ensure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the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beneficiaries receive their compensation on time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and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meet their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deed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line="264" w:lineRule="atLeast"/>
        <w:ind w:left="420" w:leftChars="0" w:hanging="420" w:firstLineChars="0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I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f the village council is unable to offer work within 15 days of  request, the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n the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state government is responsible for paying an 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instrText xml:space="preserve"> HYPERLINK "https://nrega.nic.in/Netnrega/WriteReaddata/Circulars/2390Annual_Master_Circular_2019-20.pdf" \t "https://www.microsave.net/2021/04/15/mgnrega-the-delay-in-wage-payments-part-i/_blank" </w:instrTex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t>unemployment allowance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that too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ceases as soon as work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gets allo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cated.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line="264" w:lineRule="atLeast"/>
        <w:ind w:left="420" w:leftChars="0" w:hanging="420" w:firstLineChars="0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Direct benefit transfer (DBT) is a program launched by the Government of India to transfer benefits of social welfare programs directly into the bank accounts of beneficiaries.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line="264" w:lineRule="atLeast"/>
        <w:ind w:left="420" w:leftChars="0" w:hanging="420" w:firstLineChars="0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Post office 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instrText xml:space="preserve"> HYPERLINK "https://www.thehindu.com/news/national/35-crore-mgnrega-post-office-accounts-can-now-be-used-for-cash-transfers/article4323891.ece" \t "https://www.microsave.net/2021/04/15/mgnrega-the-delay-in-wage-payments-part-i/_blank" </w:instrTex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t>accounts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 are banking services offered by the Department of Post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that is mapp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ed with the beneficiary’s </w:t>
      </w:r>
      <w:r>
        <w:rPr>
          <w:rStyle w:val="6"/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Aadhaar 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and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linked to their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J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ob cards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line="264" w:lineRule="atLeast"/>
        <w:ind w:left="420" w:leftChars="0" w:hanging="420" w:firstLineChars="0"/>
        <w:jc w:val="both"/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</w:rPr>
      </w:pP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e-FMS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(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electronic Fund Management System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>)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 is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implemented across 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instrText xml:space="preserve"> HYPERLINK "http://164.100.24.220/loksabhaquestions/annex/175/AU3307.pdf" \t "https://www.microsave.net/2021/04/15/mgnrega-the-delay-in-wage-payments-part-i/_blank" </w:instrTex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t>28 states and UTs in India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>to 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instrText xml:space="preserve"> HYPERLINK "http://ruraldiksha.nic.in/daily/sancrelease/RepNregaMotherSanc1617.asp?dept_code=rd&amp;scheme_cod=26&amp;financial_year=2020-2021" \t "https://www.microsave.net/2021/04/15/mgnrega-the-delay-in-wage-payments-part-i/_blank" </w:instrTex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t>receive funds under </w:t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ource Sans Pro" w:cs="Times New Roman"/>
          <w:i w:val="0"/>
          <w:iCs w:val="0"/>
          <w:caps w:val="0"/>
          <w:color w:val="auto"/>
          <w:spacing w:val="4"/>
          <w:sz w:val="24"/>
          <w:szCs w:val="24"/>
          <w:shd w:val="clear" w:fill="FFFFFF"/>
        </w:rPr>
        <w:t xml:space="preserve">MGNREGA from the central government.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bookmarkStart w:id="2" w:name="section2"/>
      <w:bookmarkEnd w:id="2"/>
      <w:bookmarkStart w:id="3" w:name="section4"/>
      <w:bookmarkEnd w:id="3"/>
      <w:bookmarkStart w:id="4" w:name="section5"/>
      <w:bookmarkEnd w:id="4"/>
      <w:bookmarkStart w:id="5" w:name="section6"/>
      <w:bookmarkEnd w:id="5"/>
      <w:bookmarkStart w:id="6" w:name="section7"/>
      <w:bookmarkEnd w:id="6"/>
      <w:bookmarkStart w:id="7" w:name="section8"/>
      <w:bookmarkEnd w:id="7"/>
      <w:bookmarkStart w:id="8" w:name="section9"/>
      <w:bookmarkEnd w:id="8"/>
      <w:bookmarkStart w:id="9" w:name="section10"/>
      <w:bookmarkEnd w:id="9"/>
      <w:bookmarkStart w:id="10" w:name="section11"/>
      <w:bookmarkEnd w:id="10"/>
      <w:bookmarkStart w:id="11" w:name="section12"/>
      <w:bookmarkEnd w:id="11"/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So,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MGNREGA serves as the g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rowth engine for sustainable development of an agricultural economy.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The Ministry of Rural Development (MRD),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is responsible for keeping track of further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implementation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and has guaranteed 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trong social s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ecurity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for the vulnerable groups by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giving them a backup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employment source, when other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alternatives are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in vain. 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Thus,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if e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ffectively implemented, MGNREGA has the potential to transform the geography of poverty</w:t>
      </w:r>
      <w:r>
        <w:rPr>
          <w:rFonts w:hint="default" w:ascii="Times New Roman" w:hAnsi="Times New Roman" w:eastAsia="La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BY,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KALAIVANI 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C7A53"/>
    <w:multiLevelType w:val="singleLevel"/>
    <w:tmpl w:val="613C7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8441E"/>
    <w:rsid w:val="699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2022-04-08T11:37:00Z</dcterms:created>
  <dc:creator>kvkv6</dc:creator>
  <cp:lastModifiedBy>kalai kv</cp:lastModifiedBy>
  <dcterms:modified xsi:type="dcterms:W3CDTF">2022-04-08T13:47:56Z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71294B3E5A404B48AF5E7DC7CA972863</vt:lpwstr>
  </property>
</Properties>
</file>