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C002F">
      <w:pPr>
        <w:pStyle w:val="4"/>
        <w:keepNext w:val="0"/>
        <w:keepLines w:val="0"/>
        <w:widowControl/>
        <w:suppressLineNumbers w:val="0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Data Analysis Insights - Superstore Sales</w:t>
      </w:r>
    </w:p>
    <w:p w14:paraId="4BF3A05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b/>
          <w:bCs/>
          <w:sz w:val="28"/>
          <w:szCs w:val="28"/>
        </w:rPr>
        <w:t>Top Performing Category:</w:t>
      </w:r>
      <w:r>
        <w:rPr>
          <w:sz w:val="28"/>
          <w:szCs w:val="28"/>
        </w:rPr>
        <w:t xml:space="preserve"> "Technology" is the highest-grossing category, generating </w:t>
      </w:r>
      <w:r>
        <w:rPr>
          <w:b/>
          <w:bCs/>
          <w:sz w:val="28"/>
          <w:szCs w:val="28"/>
        </w:rPr>
        <w:t>$836,154</w:t>
      </w:r>
      <w:r>
        <w:rPr>
          <w:sz w:val="28"/>
          <w:szCs w:val="28"/>
        </w:rPr>
        <w:t xml:space="preserve"> in total sales. Furniture follows closely but has a significantly lower profit margin.</w:t>
      </w:r>
    </w:p>
    <w:p w14:paraId="49A9E74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b/>
          <w:bCs/>
          <w:sz w:val="28"/>
          <w:szCs w:val="28"/>
        </w:rPr>
        <w:t>Regional Dominance:</w:t>
      </w:r>
      <w:r>
        <w:rPr>
          <w:sz w:val="28"/>
          <w:szCs w:val="28"/>
        </w:rPr>
        <w:t xml:space="preserve"> The </w:t>
      </w:r>
      <w:r>
        <w:rPr>
          <w:b/>
          <w:bCs/>
          <w:sz w:val="28"/>
          <w:szCs w:val="28"/>
        </w:rPr>
        <w:t>West Region</w:t>
      </w:r>
      <w:r>
        <w:rPr>
          <w:sz w:val="28"/>
          <w:szCs w:val="28"/>
        </w:rPr>
        <w:t xml:space="preserve"> is the strongest market, contributing </w:t>
      </w:r>
      <w:r>
        <w:rPr>
          <w:b/>
          <w:bCs/>
          <w:sz w:val="28"/>
          <w:szCs w:val="28"/>
        </w:rPr>
        <w:t>31.6%</w:t>
      </w:r>
      <w:r>
        <w:rPr>
          <w:sz w:val="28"/>
          <w:szCs w:val="28"/>
        </w:rPr>
        <w:t xml:space="preserve"> of total revenue.</w:t>
      </w:r>
    </w:p>
    <w:p w14:paraId="24EC986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b/>
          <w:bCs/>
          <w:sz w:val="28"/>
          <w:szCs w:val="28"/>
        </w:rPr>
        <w:t>Consumer Segment:</w:t>
      </w:r>
      <w:r>
        <w:rPr>
          <w:sz w:val="28"/>
          <w:szCs w:val="28"/>
        </w:rPr>
        <w:t xml:space="preserve"> Across all regions, the "Consumer" segment consistently drives the most revenue compared to Corporate or Home Office segments.</w:t>
      </w:r>
    </w:p>
    <w:p w14:paraId="0299E05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b/>
          <w:bCs/>
          <w:sz w:val="28"/>
          <w:szCs w:val="28"/>
        </w:rPr>
        <w:t>Profitability Warning:</w:t>
      </w:r>
      <w:r>
        <w:rPr>
          <w:sz w:val="28"/>
          <w:szCs w:val="28"/>
        </w:rPr>
        <w:t xml:space="preserve"> While "Furniture" generates high sales ($741k), it has the lowest average Profit Margin (</w:t>
      </w:r>
      <w:r>
        <w:rPr>
          <w:b/>
          <w:bCs/>
          <w:sz w:val="28"/>
          <w:szCs w:val="28"/>
        </w:rPr>
        <w:t>~3.9%</w:t>
      </w:r>
      <w:r>
        <w:rPr>
          <w:sz w:val="28"/>
          <w:szCs w:val="28"/>
        </w:rPr>
        <w:t>), whereas Technology is much more profitable (~15.6%).</w:t>
      </w:r>
    </w:p>
    <w:p w14:paraId="2D58053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Strategic Focus:</w:t>
      </w:r>
      <w:r>
        <w:rPr>
          <w:sz w:val="28"/>
          <w:szCs w:val="28"/>
        </w:rPr>
        <w:t xml:space="preserve"> The company should focus marketing efforts on the </w:t>
      </w:r>
      <w:r>
        <w:rPr>
          <w:b/>
          <w:bCs/>
          <w:sz w:val="28"/>
          <w:szCs w:val="28"/>
        </w:rPr>
        <w:t>West - Consumer</w:t>
      </w:r>
      <w:r>
        <w:rPr>
          <w:sz w:val="28"/>
          <w:szCs w:val="28"/>
        </w:rPr>
        <w:t xml:space="preserve"> segment as it is currently the highest revenue driver.</w: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96ABF6"/>
    <w:multiLevelType w:val="singleLevel"/>
    <w:tmpl w:val="A996ABF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723FF"/>
    <w:rsid w:val="121723FF"/>
    <w:rsid w:val="1322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2026-01-16T14:03:00Z</dcterms:created>
  <dc:creator>Kalaimagal</dc:creator>
  <cp:lastModifiedBy>Kalaimagal</cp:lastModifiedBy>
  <dcterms:modified xsi:type="dcterms:W3CDTF">2026-01-16T14:05:15Z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9BF0D914D98746D8956FD7BD56101100_11</vt:lpwstr>
  </property>
</Properties>
</file>