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18AA" w:rsidRPr="00EA55F4" w:rsidRDefault="00323621">
      <w:pPr>
        <w:spacing w:before="160" w:after="80"/>
        <w:jc w:val="center"/>
        <w:rPr>
          <w:color w:val="000000" w:themeColor="text1"/>
        </w:rPr>
      </w:pPr>
      <w:r w:rsidRPr="00EA55F4">
        <w:rPr>
          <w:rFonts w:ascii="Times New Roman" w:hAnsi="Times New Roman"/>
          <w:b/>
          <w:color w:val="000000" w:themeColor="text1"/>
          <w:sz w:val="30"/>
        </w:rPr>
        <w:t>CAT II – PROJECT REPORT</w:t>
      </w:r>
    </w:p>
    <w:p w:rsidR="00C118AA" w:rsidRPr="00EA55F4" w:rsidRDefault="00323621">
      <w:pPr>
        <w:spacing w:before="80" w:after="240"/>
        <w:jc w:val="center"/>
        <w:rPr>
          <w:color w:val="000000" w:themeColor="text1"/>
        </w:rPr>
      </w:pPr>
      <w:r w:rsidRPr="00EA55F4">
        <w:rPr>
          <w:rFonts w:ascii="Times New Roman" w:hAnsi="Times New Roman"/>
          <w:b/>
          <w:color w:val="000000" w:themeColor="text1"/>
          <w:sz w:val="32"/>
        </w:rPr>
        <w:t>ORCA: A Multimodal Deep Learning Framework for Anomaly Detection and Root-Cause Localization in Distributed Systems</w:t>
      </w:r>
    </w:p>
    <w:p w:rsidR="00C118AA" w:rsidRPr="00EA55F4" w:rsidRDefault="00323621">
      <w:pPr>
        <w:spacing w:before="40" w:after="280"/>
        <w:jc w:val="center"/>
        <w:rPr>
          <w:color w:val="000000" w:themeColor="text1"/>
        </w:rPr>
      </w:pPr>
      <w:r w:rsidRPr="00EA55F4">
        <w:rPr>
          <w:rFonts w:ascii="Times New Roman" w:hAnsi="Times New Roman"/>
          <w:color w:val="000000" w:themeColor="text1"/>
        </w:rPr>
        <w:t>Submitted by</w:t>
      </w:r>
      <w:r w:rsidRPr="00EA55F4">
        <w:rPr>
          <w:rFonts w:ascii="Times New Roman" w:hAnsi="Times New Roman"/>
          <w:color w:val="000000" w:themeColor="text1"/>
        </w:rPr>
        <w:br/>
      </w:r>
      <w:r w:rsidRPr="00EA55F4">
        <w:rPr>
          <w:rFonts w:ascii="Times New Roman" w:hAnsi="Times New Roman"/>
          <w:b/>
          <w:color w:val="000000" w:themeColor="text1"/>
          <w:sz w:val="24"/>
        </w:rPr>
        <w:t>Kalaiselvan K</w:t>
      </w:r>
      <w:r w:rsidRPr="00EA55F4">
        <w:rPr>
          <w:rFonts w:ascii="Times New Roman" w:hAnsi="Times New Roman"/>
          <w:b/>
          <w:color w:val="000000" w:themeColor="text1"/>
          <w:sz w:val="24"/>
        </w:rPr>
        <w:br/>
      </w:r>
      <w:r w:rsidRPr="00EA55F4">
        <w:rPr>
          <w:rFonts w:ascii="Times New Roman" w:hAnsi="Times New Roman"/>
          <w:color w:val="000000" w:themeColor="text1"/>
          <w:sz w:val="21"/>
        </w:rPr>
        <w:t>Roll No.: 2403717674421020</w:t>
      </w:r>
      <w:r w:rsidRPr="00EA55F4">
        <w:rPr>
          <w:rFonts w:ascii="Times New Roman" w:hAnsi="Times New Roman"/>
          <w:color w:val="000000" w:themeColor="text1"/>
          <w:sz w:val="21"/>
        </w:rPr>
        <w:br/>
        <w:t>Department of Computing</w:t>
      </w:r>
      <w:r w:rsidRPr="00EA55F4">
        <w:rPr>
          <w:rFonts w:ascii="Times New Roman" w:hAnsi="Times New Roman"/>
          <w:color w:val="000000" w:themeColor="text1"/>
          <w:sz w:val="21"/>
        </w:rPr>
        <w:br/>
        <w:t>M.Sc. Artificial Intelligence and Machine Learning (AIML)</w:t>
      </w:r>
      <w:r w:rsidRPr="00EA55F4">
        <w:rPr>
          <w:rFonts w:ascii="Times New Roman" w:hAnsi="Times New Roman"/>
          <w:color w:val="000000" w:themeColor="text1"/>
          <w:sz w:val="21"/>
        </w:rPr>
        <w:br/>
        <w:t>Semester V</w:t>
      </w:r>
      <w:r w:rsidRPr="00EA55F4">
        <w:rPr>
          <w:rFonts w:ascii="Times New Roman" w:hAnsi="Times New Roman"/>
          <w:color w:val="000000" w:themeColor="text1"/>
          <w:sz w:val="21"/>
        </w:rPr>
        <w:br/>
        <w:t>Advanced Machine Learning Lab (19MAM56)</w:t>
      </w:r>
    </w:p>
    <w:p w:rsidR="00C118AA" w:rsidRPr="00EA55F4" w:rsidRDefault="00323621">
      <w:pPr>
        <w:spacing w:after="160"/>
        <w:jc w:val="center"/>
        <w:rPr>
          <w:color w:val="000000" w:themeColor="text1"/>
        </w:rPr>
      </w:pPr>
      <w:r w:rsidRPr="00EA55F4">
        <w:rPr>
          <w:rFonts w:ascii="Times New Roman" w:hAnsi="Times New Roman"/>
          <w:color w:val="000000" w:themeColor="text1"/>
          <w:sz w:val="18"/>
        </w:rPr>
        <w:t>__________________________________________</w:t>
      </w:r>
      <w:r w:rsidR="00EA55F4" w:rsidRPr="00EA55F4">
        <w:rPr>
          <w:rFonts w:ascii="Times New Roman" w:hAnsi="Times New Roman"/>
          <w:color w:val="000000" w:themeColor="text1"/>
          <w:sz w:val="18"/>
        </w:rPr>
        <w:t>________________________________________________________________</w:t>
      </w:r>
    </w:p>
    <w:p w:rsidR="00C118AA" w:rsidRPr="00EA55F4" w:rsidRDefault="00323621" w:rsidP="00EA55F4">
      <w:pPr>
        <w:keepNext/>
        <w:spacing w:before="280" w:after="60"/>
        <w:rPr>
          <w:color w:val="000000" w:themeColor="text1"/>
        </w:rPr>
      </w:pPr>
      <w:r w:rsidRPr="00EA55F4">
        <w:rPr>
          <w:rFonts w:ascii="Times New Roman" w:hAnsi="Times New Roman"/>
          <w:b/>
          <w:color w:val="000000" w:themeColor="text1"/>
          <w:sz w:val="25"/>
        </w:rPr>
        <w:t>1. ABSTRACT</w:t>
      </w:r>
    </w:p>
    <w:p w:rsidR="00C118AA" w:rsidRPr="00EA55F4" w:rsidRDefault="00323621" w:rsidP="00EA55F4">
      <w:pPr>
        <w:spacing w:after="90"/>
        <w:jc w:val="both"/>
        <w:rPr>
          <w:color w:val="000000" w:themeColor="text1"/>
        </w:rPr>
      </w:pPr>
      <w:r w:rsidRPr="00EA55F4">
        <w:rPr>
          <w:rFonts w:ascii="Times New Roman" w:hAnsi="Times New Roman"/>
          <w:b/>
          <w:color w:val="000000" w:themeColor="text1"/>
        </w:rPr>
        <w:t>Abstract—</w:t>
      </w:r>
      <w:r w:rsidRPr="00EA55F4">
        <w:rPr>
          <w:rFonts w:ascii="Times New Roman" w:hAnsi="Times New Roman"/>
          <w:color w:val="000000" w:themeColor="text1"/>
        </w:rPr>
        <w:t xml:space="preserve"> *Modern cloud-native applications rely on complex, interdependent microservice architectures where transient failures rapidly propagate into cascading outages. Traditional Site Reliability Engineering (SRE) workflows depend on isolated telemetry monitoring, resulting in alert fatigue and delayed incident resolution. This paper presents ORCA (Operational Root-Cause Analysis with Multimodal AI), a unified deep learning framework for simultaneous anomaly detection and root-cause localization across distributed systems. ORCA integrates continuous telemetry metrics, discrete unstructured system logs, and distributed trace service invocation topologies. The framework incorporates a Temporal Convolutional Network with Bidirectional GRUs (TCN-BiGRU) for multi-channel time-series metrics, a Transformer encoder for tokenized log events, and a dynamic vectorized Graph Attention Network (GATv2) for distributed trace dependencies. A multimodal cross-attention fusion mechanism aligns these heterogeneous streams into a cohesive incident representation. Evaluated on empirical microservice telemetry from the RCAEval benchmark suite under leak-free temporal splitting (288 test windows), ORCA achieves an anomaly detection ROC-AUC of 0.9775, an F1-score of 0.9650 (precision: 0.9718, recall: 0.9583), a Top-1 Active Root-Cause Localization Accuracy of 97.92%, and a Mean Reciprocal Rank (MRR) of 0.6520. Post-hoc temperature calibration (T* = 0.8057) reduces Expected Calibration Error (ECE) from 33.77% to 25.20%, providing reliable, calibrated decision support for autonomous cloud operations.*</w:t>
      </w:r>
    </w:p>
    <w:p w:rsidR="00C118AA" w:rsidRPr="00EA55F4" w:rsidRDefault="00323621" w:rsidP="00EA55F4">
      <w:pPr>
        <w:spacing w:after="90"/>
        <w:jc w:val="both"/>
        <w:rPr>
          <w:color w:val="000000" w:themeColor="text1"/>
        </w:rPr>
      </w:pPr>
      <w:r w:rsidRPr="00EA55F4">
        <w:rPr>
          <w:rFonts w:ascii="Times New Roman" w:hAnsi="Times New Roman"/>
          <w:b/>
          <w:color w:val="000000" w:themeColor="text1"/>
        </w:rPr>
        <w:t>Keywords—</w:t>
      </w:r>
      <w:r w:rsidRPr="00EA55F4">
        <w:rPr>
          <w:rFonts w:ascii="Times New Roman" w:hAnsi="Times New Roman"/>
          <w:color w:val="000000" w:themeColor="text1"/>
        </w:rPr>
        <w:t xml:space="preserve"> AIOps, Multimodal Deep Learning, Anomaly Detection, Root-Cause Analysis, Graph Attention Networks, Temporal Convolutional Networks, Microservices, Telemetry Fusion, Reliability Engineering.</w:t>
      </w:r>
    </w:p>
    <w:p w:rsidR="00C118AA" w:rsidRPr="00EA55F4" w:rsidRDefault="00323621" w:rsidP="00EA55F4">
      <w:pPr>
        <w:keepNext/>
        <w:spacing w:before="280" w:after="60"/>
        <w:rPr>
          <w:color w:val="000000" w:themeColor="text1"/>
        </w:rPr>
      </w:pPr>
      <w:r w:rsidRPr="00EA55F4">
        <w:rPr>
          <w:rFonts w:ascii="Times New Roman" w:hAnsi="Times New Roman"/>
          <w:b/>
          <w:color w:val="000000" w:themeColor="text1"/>
          <w:sz w:val="25"/>
        </w:rPr>
        <w:t>2. INTRODUCTION</w:t>
      </w: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t>2.1 Background and Motivation</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Cloud computing has undergone an architectural transition from monolithic software systems to containerized microservice architectures orchestrated through platforms such as Kubernetes [1]. Modern software applications partition core business workflows into dozens or hundreds of independently deployable microservices that communicate via Remote Procedure Calls (gRPC, REST) and asynchronous message brokers [2]. While this decoupled paradigm enables independent lifecycle management and elastic scaling, it introduces intricate runtime dependency topologies where localized degradation within a single internal component rapidly propagates into cascading service failures across the system [3].</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To monitor application health and maintain service availability, Site Reliability Engineering (SRE) teams continuously collect three fundamental telemetry modalities [4]:</w:t>
      </w:r>
      <w:r w:rsidRPr="00EA55F4">
        <w:rPr>
          <w:rFonts w:ascii="Times New Roman" w:hAnsi="Times New Roman"/>
          <w:color w:val="000000" w:themeColor="text1"/>
        </w:rPr>
        <w:br/>
      </w:r>
      <w:r w:rsidRPr="00EA55F4">
        <w:rPr>
          <w:rFonts w:ascii="Times New Roman" w:hAnsi="Times New Roman"/>
          <w:color w:val="000000" w:themeColor="text1"/>
        </w:rPr>
        <w:lastRenderedPageBreak/>
        <w:t xml:space="preserve">1. </w:t>
      </w:r>
      <w:r w:rsidRPr="00EA55F4">
        <w:rPr>
          <w:rFonts w:ascii="Times New Roman" w:hAnsi="Times New Roman"/>
          <w:b/>
          <w:color w:val="000000" w:themeColor="text1"/>
        </w:rPr>
        <w:t>Continuous Telemetry Metrics:</w:t>
      </w:r>
      <w:r w:rsidRPr="00EA55F4">
        <w:rPr>
          <w:rFonts w:ascii="Times New Roman" w:hAnsi="Times New Roman"/>
          <w:color w:val="000000" w:themeColor="text1"/>
        </w:rPr>
        <w:t xml:space="preserve"> Scalar time-series signals recording container CPU utilization, memory resident set size, disk I/O throughput, and application-level request rates [5].</w:t>
      </w:r>
      <w:r w:rsidRPr="00EA55F4">
        <w:rPr>
          <w:rFonts w:ascii="Times New Roman" w:hAnsi="Times New Roman"/>
          <w:color w:val="000000" w:themeColor="text1"/>
        </w:rPr>
        <w:br/>
        <w:t xml:space="preserve">2. </w:t>
      </w:r>
      <w:r w:rsidRPr="00EA55F4">
        <w:rPr>
          <w:rFonts w:ascii="Times New Roman" w:hAnsi="Times New Roman"/>
          <w:b/>
          <w:color w:val="000000" w:themeColor="text1"/>
        </w:rPr>
        <w:t>Unstructured System Logs:</w:t>
      </w:r>
      <w:r w:rsidRPr="00EA55F4">
        <w:rPr>
          <w:rFonts w:ascii="Times New Roman" w:hAnsi="Times New Roman"/>
          <w:color w:val="000000" w:themeColor="text1"/>
        </w:rPr>
        <w:t xml:space="preserve"> Timestamped event records generated by container runtimes and middleware daemons that record runtime execution states, configuration changes, and error stack traces [6].</w:t>
      </w:r>
      <w:r w:rsidRPr="00EA55F4">
        <w:rPr>
          <w:rFonts w:ascii="Times New Roman" w:hAnsi="Times New Roman"/>
          <w:color w:val="000000" w:themeColor="text1"/>
        </w:rPr>
        <w:br/>
        <w:t xml:space="preserve">3. </w:t>
      </w:r>
      <w:r w:rsidRPr="00EA55F4">
        <w:rPr>
          <w:rFonts w:ascii="Times New Roman" w:hAnsi="Times New Roman"/>
          <w:b/>
          <w:color w:val="000000" w:themeColor="text1"/>
        </w:rPr>
        <w:t>Distributed Tracing Spans:</w:t>
      </w:r>
      <w:r w:rsidRPr="00EA55F4">
        <w:rPr>
          <w:rFonts w:ascii="Times New Roman" w:hAnsi="Times New Roman"/>
          <w:color w:val="000000" w:themeColor="text1"/>
        </w:rPr>
        <w:t xml:space="preserve"> End-to-end execution paths recording the causal flow of individual user requests across microservice network hops, capturing parent-child span invocation relationships and inter-service call latencies [7].</w:t>
      </w: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t>2.2 Problem Definition and Operational Challenges</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Automated incident diagnosis in distributed environments presents four major technical challenges:</w:t>
      </w:r>
      <w:r w:rsidRPr="00EA55F4">
        <w:rPr>
          <w:rFonts w:ascii="Times New Roman" w:hAnsi="Times New Roman"/>
          <w:color w:val="000000" w:themeColor="text1"/>
        </w:rPr>
        <w:br/>
        <w:t xml:space="preserve">• </w:t>
      </w:r>
      <w:r w:rsidRPr="00EA55F4">
        <w:rPr>
          <w:rFonts w:ascii="Times New Roman" w:hAnsi="Times New Roman"/>
          <w:b/>
          <w:color w:val="000000" w:themeColor="text1"/>
        </w:rPr>
        <w:t>Telemetry Heterogeneity:</w:t>
      </w:r>
      <w:r w:rsidRPr="00EA55F4">
        <w:rPr>
          <w:rFonts w:ascii="Times New Roman" w:hAnsi="Times New Roman"/>
          <w:color w:val="000000" w:themeColor="text1"/>
        </w:rPr>
        <w:t xml:space="preserve"> Metrics represent continuous, synchronously sampled numerical series; logs represent high-dimensional discrete text; and traces constitute dynamic directed acyclic graphs (DAGs). Fusing these structurally disparate streams without losing operational semantics is challenging [8].</w:t>
      </w:r>
      <w:r w:rsidRPr="00EA55F4">
        <w:rPr>
          <w:rFonts w:ascii="Times New Roman" w:hAnsi="Times New Roman"/>
          <w:color w:val="000000" w:themeColor="text1"/>
        </w:rPr>
        <w:br/>
        <w:t xml:space="preserve">• </w:t>
      </w:r>
      <w:r w:rsidRPr="00EA55F4">
        <w:rPr>
          <w:rFonts w:ascii="Times New Roman" w:hAnsi="Times New Roman"/>
          <w:b/>
          <w:color w:val="000000" w:themeColor="text1"/>
        </w:rPr>
        <w:t>Cascading Failure Propagation:</w:t>
      </w:r>
      <w:r w:rsidRPr="00EA55F4">
        <w:rPr>
          <w:rFonts w:ascii="Times New Roman" w:hAnsi="Times New Roman"/>
          <w:color w:val="000000" w:themeColor="text1"/>
        </w:rPr>
        <w:t xml:space="preserve"> When a backend microservice experiences thread starvation or memory exhaustion, calling services immediately register latency spikes. Traditional threshold alerting triggers multiple correlated alarms across healthy downstream services, masking the true root cause [9].</w:t>
      </w:r>
      <w:r w:rsidRPr="00EA55F4">
        <w:rPr>
          <w:rFonts w:ascii="Times New Roman" w:hAnsi="Times New Roman"/>
          <w:color w:val="000000" w:themeColor="text1"/>
        </w:rPr>
        <w:br/>
        <w:t xml:space="preserve">• </w:t>
      </w:r>
      <w:r w:rsidRPr="00EA55F4">
        <w:rPr>
          <w:rFonts w:ascii="Times New Roman" w:hAnsi="Times New Roman"/>
          <w:b/>
          <w:color w:val="000000" w:themeColor="text1"/>
        </w:rPr>
        <w:t>Telemetry Noise and Imbalance:</w:t>
      </w:r>
      <w:r w:rsidRPr="00EA55F4">
        <w:rPr>
          <w:rFonts w:ascii="Times New Roman" w:hAnsi="Times New Roman"/>
          <w:color w:val="000000" w:themeColor="text1"/>
        </w:rPr>
        <w:t xml:space="preserve"> Healthy steady-state operations generate massive volumes of normal telemetry, making anomalous failure signatures rare and heavily class-imbalanced [10].</w:t>
      </w:r>
      <w:r w:rsidRPr="00EA55F4">
        <w:rPr>
          <w:rFonts w:ascii="Times New Roman" w:hAnsi="Times New Roman"/>
          <w:color w:val="000000" w:themeColor="text1"/>
        </w:rPr>
        <w:br/>
        <w:t xml:space="preserve">• </w:t>
      </w:r>
      <w:r w:rsidRPr="00EA55F4">
        <w:rPr>
          <w:rFonts w:ascii="Times New Roman" w:hAnsi="Times New Roman"/>
          <w:b/>
          <w:color w:val="000000" w:themeColor="text1"/>
        </w:rPr>
        <w:t>Siloed Diagnostic Toolchains:</w:t>
      </w:r>
      <w:r w:rsidRPr="00EA55F4">
        <w:rPr>
          <w:rFonts w:ascii="Times New Roman" w:hAnsi="Times New Roman"/>
          <w:color w:val="000000" w:themeColor="text1"/>
        </w:rPr>
        <w:t xml:space="preserve"> Industrial monitoring dashboards isolate metrics, logs, and traces onto separate screens, forcing human operators to manually correlate timestamps during critical outages and inflating Mean Time to Resolution (MTTR) [11].</w:t>
      </w: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t>2.3 Limitations of Conventional and Single-Modality Approaches</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Prior AIOps solutions have largely focused on single-modality anomaly detection:</w:t>
      </w:r>
      <w:r w:rsidRPr="00EA55F4">
        <w:rPr>
          <w:rFonts w:ascii="Times New Roman" w:hAnsi="Times New Roman"/>
          <w:color w:val="000000" w:themeColor="text1"/>
        </w:rPr>
        <w:br/>
        <w:t xml:space="preserve">• </w:t>
      </w:r>
      <w:r w:rsidRPr="00EA55F4">
        <w:rPr>
          <w:rFonts w:ascii="Times New Roman" w:hAnsi="Times New Roman"/>
          <w:b/>
          <w:color w:val="000000" w:themeColor="text1"/>
        </w:rPr>
        <w:t>Log-Only Models (e.g., DeepLog [12], LogAnomaly [13]):</w:t>
      </w:r>
      <w:r w:rsidRPr="00EA55F4">
        <w:rPr>
          <w:rFonts w:ascii="Times New Roman" w:hAnsi="Times New Roman"/>
          <w:color w:val="000000" w:themeColor="text1"/>
        </w:rPr>
        <w:t xml:space="preserve"> Highly effective at detecting explicit software exceptions, but completely blind to silent resource starvation or network throttling where containers degrade without emitting error logs.</w:t>
      </w:r>
      <w:r w:rsidRPr="00EA55F4">
        <w:rPr>
          <w:rFonts w:ascii="Times New Roman" w:hAnsi="Times New Roman"/>
          <w:color w:val="000000" w:themeColor="text1"/>
        </w:rPr>
        <w:br/>
        <w:t xml:space="preserve">• </w:t>
      </w:r>
      <w:r w:rsidRPr="00EA55F4">
        <w:rPr>
          <w:rFonts w:ascii="Times New Roman" w:hAnsi="Times New Roman"/>
          <w:b/>
          <w:color w:val="000000" w:themeColor="text1"/>
        </w:rPr>
        <w:t>Metric-Only Models (e.g., Isolation Forest [14], OmniAnomaly [15], Donut [16]):</w:t>
      </w:r>
      <w:r w:rsidRPr="00EA55F4">
        <w:rPr>
          <w:rFonts w:ascii="Times New Roman" w:hAnsi="Times New Roman"/>
          <w:color w:val="000000" w:themeColor="text1"/>
        </w:rPr>
        <w:t xml:space="preserve"> Identify volume surges and CPU spikes, but lack topological awareness. They cannot determine whether an overloaded service is the primary root cause or merely an innocent caller affected by downstream failure.</w:t>
      </w:r>
      <w:r w:rsidRPr="00EA55F4">
        <w:rPr>
          <w:rFonts w:ascii="Times New Roman" w:hAnsi="Times New Roman"/>
          <w:color w:val="000000" w:themeColor="text1"/>
        </w:rPr>
        <w:br/>
        <w:t xml:space="preserve">• </w:t>
      </w:r>
      <w:r w:rsidRPr="00EA55F4">
        <w:rPr>
          <w:rFonts w:ascii="Times New Roman" w:hAnsi="Times New Roman"/>
          <w:b/>
          <w:color w:val="000000" w:themeColor="text1"/>
        </w:rPr>
        <w:t>Trace-Only Models (e.g., TraceAnomaly [17]):</w:t>
      </w:r>
      <w:r w:rsidRPr="00EA55F4">
        <w:rPr>
          <w:rFonts w:ascii="Times New Roman" w:hAnsi="Times New Roman"/>
          <w:color w:val="000000" w:themeColor="text1"/>
        </w:rPr>
        <w:t xml:space="preserve"> Identify abnormal call paths and RPC latency bottlenecks, but cannot identify physical container-level causes such as thread deadlocks or memory exhaustion.</w:t>
      </w: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t>2.4 Research Objectives and Specific Contributions</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 xml:space="preserve">To address these operational limitations, this research presents </w:t>
      </w:r>
      <w:r w:rsidRPr="00EA55F4">
        <w:rPr>
          <w:rFonts w:ascii="Times New Roman" w:hAnsi="Times New Roman"/>
          <w:b/>
          <w:color w:val="000000" w:themeColor="text1"/>
        </w:rPr>
        <w:t>ORCA (Operational Root-Cause Analysis with Multimodal AI)</w:t>
      </w:r>
      <w:r w:rsidRPr="00EA55F4">
        <w:rPr>
          <w:rFonts w:ascii="Times New Roman" w:hAnsi="Times New Roman"/>
          <w:color w:val="000000" w:themeColor="text1"/>
        </w:rPr>
        <w:t>, an end-to-end deep learning framework that aligns and jointly reasons over continuous metrics, unstructured logs, and distributed trace graphs. The primary contributions of this project are:</w:t>
      </w:r>
      <w:r w:rsidRPr="00EA55F4">
        <w:rPr>
          <w:rFonts w:ascii="Times New Roman" w:hAnsi="Times New Roman"/>
          <w:color w:val="000000" w:themeColor="text1"/>
        </w:rPr>
        <w:br/>
        <w:t xml:space="preserve">1. </w:t>
      </w:r>
      <w:r w:rsidRPr="00EA55F4">
        <w:rPr>
          <w:rFonts w:ascii="Times New Roman" w:hAnsi="Times New Roman"/>
          <w:b/>
          <w:color w:val="000000" w:themeColor="text1"/>
        </w:rPr>
        <w:t>Unified Multimodal Architecture:</w:t>
      </w:r>
      <w:r w:rsidRPr="00EA55F4">
        <w:rPr>
          <w:rFonts w:ascii="Times New Roman" w:hAnsi="Times New Roman"/>
          <w:color w:val="000000" w:themeColor="text1"/>
        </w:rPr>
        <w:t xml:space="preserve"> Combining a Dilated Causal Temporal Convolutional Network with Bidirectional GRUs (TCN-BiGRU) for metric time series, a multi-head Transformer encoder for system logs, and a vectorized Graph Attention Network (GATv2) for distributed trace dependencies.</w:t>
      </w:r>
      <w:r w:rsidRPr="00EA55F4">
        <w:rPr>
          <w:rFonts w:ascii="Times New Roman" w:hAnsi="Times New Roman"/>
          <w:color w:val="000000" w:themeColor="text1"/>
        </w:rPr>
        <w:br/>
        <w:t xml:space="preserve">2. </w:t>
      </w:r>
      <w:r w:rsidRPr="00EA55F4">
        <w:rPr>
          <w:rFonts w:ascii="Times New Roman" w:hAnsi="Times New Roman"/>
          <w:b/>
          <w:color w:val="000000" w:themeColor="text1"/>
        </w:rPr>
        <w:t>Cross-Attention Fusion:</w:t>
      </w:r>
      <w:r w:rsidRPr="00EA55F4">
        <w:rPr>
          <w:rFonts w:ascii="Times New Roman" w:hAnsi="Times New Roman"/>
          <w:color w:val="000000" w:themeColor="text1"/>
        </w:rPr>
        <w:t xml:space="preserve"> Treating modality latent vectors as sequence tokens within a Multi-Head Cross-Attention layer, enabling dynamic cross-modal interaction where log error bursts modulate metric representations and trace latency graphs.</w:t>
      </w:r>
      <w:r w:rsidRPr="00EA55F4">
        <w:rPr>
          <w:rFonts w:ascii="Times New Roman" w:hAnsi="Times New Roman"/>
          <w:color w:val="000000" w:themeColor="text1"/>
        </w:rPr>
        <w:br/>
        <w:t xml:space="preserve">3. </w:t>
      </w:r>
      <w:r w:rsidRPr="00EA55F4">
        <w:rPr>
          <w:rFonts w:ascii="Times New Roman" w:hAnsi="Times New Roman"/>
          <w:b/>
          <w:color w:val="000000" w:themeColor="text1"/>
        </w:rPr>
        <w:t>Conditioned Multi-Task Heads:</w:t>
      </w:r>
      <w:r w:rsidRPr="00EA55F4">
        <w:rPr>
          <w:rFonts w:ascii="Times New Roman" w:hAnsi="Times New Roman"/>
          <w:color w:val="000000" w:themeColor="text1"/>
        </w:rPr>
        <w:t xml:space="preserve"> Jointly optimizing binary anomaly classification and graph-conditioned root-cause service ranking, strictly computing root-cause ranking loss on active anomalous observation windows.</w:t>
      </w:r>
      <w:r w:rsidRPr="00EA55F4">
        <w:rPr>
          <w:rFonts w:ascii="Times New Roman" w:hAnsi="Times New Roman"/>
          <w:color w:val="000000" w:themeColor="text1"/>
        </w:rPr>
        <w:br/>
        <w:t xml:space="preserve">4. </w:t>
      </w:r>
      <w:r w:rsidRPr="00EA55F4">
        <w:rPr>
          <w:rFonts w:ascii="Times New Roman" w:hAnsi="Times New Roman"/>
          <w:b/>
          <w:color w:val="000000" w:themeColor="text1"/>
        </w:rPr>
        <w:t>Post-Hoc Probability Calibration:</w:t>
      </w:r>
      <w:r w:rsidRPr="00EA55F4">
        <w:rPr>
          <w:rFonts w:ascii="Times New Roman" w:hAnsi="Times New Roman"/>
          <w:color w:val="000000" w:themeColor="text1"/>
        </w:rPr>
        <w:t xml:space="preserve"> Implementing temperature scaling to mitigate neural overconfidence, producing statistically reliable predictive probabilities for automated SRE decision-making.</w:t>
      </w:r>
      <w:r w:rsidRPr="00EA55F4">
        <w:rPr>
          <w:rFonts w:ascii="Times New Roman" w:hAnsi="Times New Roman"/>
          <w:color w:val="000000" w:themeColor="text1"/>
        </w:rPr>
        <w:br/>
      </w:r>
      <w:r w:rsidRPr="00EA55F4">
        <w:rPr>
          <w:rFonts w:ascii="Times New Roman" w:hAnsi="Times New Roman"/>
          <w:color w:val="000000" w:themeColor="text1"/>
        </w:rPr>
        <w:lastRenderedPageBreak/>
        <w:t xml:space="preserve">5. </w:t>
      </w:r>
      <w:r w:rsidRPr="00EA55F4">
        <w:rPr>
          <w:rFonts w:ascii="Times New Roman" w:hAnsi="Times New Roman"/>
          <w:b/>
          <w:color w:val="000000" w:themeColor="text1"/>
        </w:rPr>
        <w:t>Rigorous Empirical Benchmark:</w:t>
      </w:r>
      <w:r w:rsidRPr="00EA55F4">
        <w:rPr>
          <w:rFonts w:ascii="Times New Roman" w:hAnsi="Times New Roman"/>
          <w:color w:val="000000" w:themeColor="text1"/>
        </w:rPr>
        <w:t xml:space="preserve"> Benchmarking on empirical microservice telemetry from the RCAEval Google Online Boutique dataset under leak-free temporal splitting, achieving 0.9775 ROC-AUC, 0.9650 F1-score, 97.92% Top-1 Active RCA Accuracy, and 0.6520 MRR.</w:t>
      </w:r>
      <w:r w:rsidRPr="00EA55F4">
        <w:rPr>
          <w:rFonts w:ascii="Times New Roman" w:hAnsi="Times New Roman"/>
          <w:color w:val="000000" w:themeColor="text1"/>
        </w:rPr>
        <w:br/>
        <w:t xml:space="preserve">6. </w:t>
      </w:r>
      <w:r w:rsidRPr="00EA55F4">
        <w:rPr>
          <w:rFonts w:ascii="Times New Roman" w:hAnsi="Times New Roman"/>
          <w:b/>
          <w:color w:val="000000" w:themeColor="text1"/>
        </w:rPr>
        <w:t>Production-Ready Framework:</w:t>
      </w:r>
      <w:r w:rsidRPr="00EA55F4">
        <w:rPr>
          <w:rFonts w:ascii="Times New Roman" w:hAnsi="Times New Roman"/>
          <w:color w:val="000000" w:themeColor="text1"/>
        </w:rPr>
        <w:t xml:space="preserve"> Providing an asynchronous FastAPI serving engine, a Streamlit observability dashboard, and containerization manifests.</w:t>
      </w: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t>2.5 Scope and Assumptions</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This research targets containerized microservice architectures instrumented with Prometheus, OpenTelemetry, and standard container logging daemons. Node system clocks are assumed synchronized within millisecond tolerance via Network Time Protocol (NTP). The target evaluation topology corresponds to the 10-microservice Google Online Boutique benchmark suite from the standardized RCAEval benchmark [18].</w:t>
      </w:r>
    </w:p>
    <w:p w:rsidR="00C118AA" w:rsidRPr="00EA55F4" w:rsidRDefault="00323621" w:rsidP="00EA55F4">
      <w:pPr>
        <w:keepNext/>
        <w:spacing w:before="280" w:after="60"/>
        <w:rPr>
          <w:color w:val="000000" w:themeColor="text1"/>
        </w:rPr>
      </w:pPr>
      <w:r w:rsidRPr="00EA55F4">
        <w:rPr>
          <w:rFonts w:ascii="Times New Roman" w:hAnsi="Times New Roman"/>
          <w:b/>
          <w:color w:val="000000" w:themeColor="text1"/>
          <w:sz w:val="25"/>
        </w:rPr>
        <w:t>3. LITERATURE REVIEW</w:t>
      </w: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t>3.1 Review of Existing Literature</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Telemetry anomaly detection and Root-Cause Analysis (RCA) have advanced through rule-based heuristics, statistical signal processing, classical machine learning, and deep geometric learning.</w:t>
      </w:r>
      <w:r w:rsidRPr="00EA55F4">
        <w:rPr>
          <w:rFonts w:ascii="Times New Roman" w:hAnsi="Times New Roman"/>
          <w:color w:val="000000" w:themeColor="text1"/>
        </w:rPr>
        <w:br/>
      </w:r>
      <w:r w:rsidRPr="00EA55F4">
        <w:rPr>
          <w:rFonts w:ascii="Times New Roman" w:hAnsi="Times New Roman"/>
          <w:color w:val="000000" w:themeColor="text1"/>
        </w:rPr>
        <w:br/>
      </w:r>
      <w:r w:rsidRPr="00EA55F4">
        <w:rPr>
          <w:rFonts w:ascii="Times New Roman" w:hAnsi="Times New Roman"/>
          <w:b/>
          <w:color w:val="000000" w:themeColor="text1"/>
        </w:rPr>
        <w:t>Log-Based Approaches:</w:t>
      </w:r>
      <w:r w:rsidRPr="00EA55F4">
        <w:rPr>
          <w:rFonts w:ascii="Times New Roman" w:hAnsi="Times New Roman"/>
          <w:color w:val="000000" w:themeColor="text1"/>
        </w:rPr>
        <w:t xml:space="preserve"> Early automated log parsing methods relied on regular expressions and template extraction algorithms such as Drain [19] and Spell [20] to convert unstructured text into structured event sequences. DeepLog [12] applied Long Short-Term Memory (LSTM) networks to model sequential log event key transitions. LogAnomaly [13] introduced semantic word embeddings (Template2Vec) to capture semantic synonyms across log messages. LogRobust [21] introduced attention-based bi-directional LSTMs to handle unstable log patterns induced by software version updates. However, these techniques remain unimodal; they fail when microservices experience resource saturation or deadlocks without generating explicit log errors.</w:t>
      </w:r>
      <w:r w:rsidRPr="00EA55F4">
        <w:rPr>
          <w:rFonts w:ascii="Times New Roman" w:hAnsi="Times New Roman"/>
          <w:color w:val="000000" w:themeColor="text1"/>
        </w:rPr>
        <w:br/>
      </w:r>
      <w:r w:rsidRPr="00EA55F4">
        <w:rPr>
          <w:rFonts w:ascii="Times New Roman" w:hAnsi="Times New Roman"/>
          <w:color w:val="000000" w:themeColor="text1"/>
        </w:rPr>
        <w:br/>
      </w:r>
      <w:r w:rsidRPr="00EA55F4">
        <w:rPr>
          <w:rFonts w:ascii="Times New Roman" w:hAnsi="Times New Roman"/>
          <w:b/>
          <w:color w:val="000000" w:themeColor="text1"/>
        </w:rPr>
        <w:t>Metric-Based Approaches:</w:t>
      </w:r>
      <w:r w:rsidRPr="00EA55F4">
        <w:rPr>
          <w:rFonts w:ascii="Times New Roman" w:hAnsi="Times New Roman"/>
          <w:color w:val="000000" w:themeColor="text1"/>
        </w:rPr>
        <w:t xml:space="preserve"> Metric monitoring traditionally employed univariate statistical thresholding. Classical machine learning introduced Isolation Forest [14] and One-Class Support Vector Machines (OC-SVM) [22] to isolate multivariate outliers across multi-channel metric streams. In deep learning, Donut [16] employed Variational Autoencoders (VAEs) over seasonal key performance indicators (KPIs), while OmniAnomaly [15] coupled VAEs with planar normalizing flows and gated recurrent units to capture stochastic temporal dependencies across multivariate metrics. Telemanom [23] implemented LSTM-based prediction error thresholding for spacecraft telemetry. While effective at continuous anomaly tracking, these models lack topological context and cannot pinpoint the root cause in cascading failure scenarios.</w:t>
      </w:r>
      <w:r w:rsidRPr="00EA55F4">
        <w:rPr>
          <w:rFonts w:ascii="Times New Roman" w:hAnsi="Times New Roman"/>
          <w:color w:val="000000" w:themeColor="text1"/>
        </w:rPr>
        <w:br/>
      </w:r>
      <w:r w:rsidRPr="00EA55F4">
        <w:rPr>
          <w:rFonts w:ascii="Times New Roman" w:hAnsi="Times New Roman"/>
          <w:color w:val="000000" w:themeColor="text1"/>
        </w:rPr>
        <w:br/>
      </w:r>
      <w:r w:rsidRPr="00EA55F4">
        <w:rPr>
          <w:rFonts w:ascii="Times New Roman" w:hAnsi="Times New Roman"/>
          <w:b/>
          <w:color w:val="000000" w:themeColor="text1"/>
        </w:rPr>
        <w:t>Trace-Based Approaches:</w:t>
      </w:r>
      <w:r w:rsidRPr="00EA55F4">
        <w:rPr>
          <w:rFonts w:ascii="Times New Roman" w:hAnsi="Times New Roman"/>
          <w:color w:val="000000" w:themeColor="text1"/>
        </w:rPr>
        <w:t xml:space="preserve"> Distributed tracing provides structural visibility into request flow paths. MicroRCA [24] leveraged trace latency attributes and host resource metrics to construct attributed service graphs, applying PageRank-based random walks for root-cause inference. TraceAnomaly [17] embedded trace paths into vector representations using a multi-dimensional VAE to detect anomalous execution paths. MicroCause [25] (ACM WWW'25) applied structural equation modeling and path analysis across metrics and trace topologies to identify causal paths. BARO [26] (ACM FSE'24) combined metric trend change-point detection with causal graph discovery to automate RCA.</w:t>
      </w:r>
      <w:r w:rsidRPr="00EA55F4">
        <w:rPr>
          <w:rFonts w:ascii="Times New Roman" w:hAnsi="Times New Roman"/>
          <w:color w:val="000000" w:themeColor="text1"/>
        </w:rPr>
        <w:br/>
      </w:r>
      <w:r w:rsidRPr="00EA55F4">
        <w:rPr>
          <w:rFonts w:ascii="Times New Roman" w:hAnsi="Times New Roman"/>
          <w:color w:val="000000" w:themeColor="text1"/>
        </w:rPr>
        <w:br/>
      </w:r>
      <w:r w:rsidRPr="00EA55F4">
        <w:rPr>
          <w:rFonts w:ascii="Times New Roman" w:hAnsi="Times New Roman"/>
          <w:b/>
          <w:color w:val="000000" w:themeColor="text1"/>
        </w:rPr>
        <w:t>Multimodal Telemetry Fusion &amp; Graph Neural Networks:</w:t>
      </w:r>
      <w:r w:rsidRPr="00EA55F4">
        <w:rPr>
          <w:rFonts w:ascii="Times New Roman" w:hAnsi="Times New Roman"/>
          <w:color w:val="000000" w:themeColor="text1"/>
        </w:rPr>
        <w:t xml:space="preserve"> Multi-source benchmarks such as RCAEval [18] and MSDS [27] have highlighted that unimodal systems exhibit fundamental blind spots. Graph Neural Networks (GNNs), particularly Graph Attention Networks (GAT [28], GATv2 [29]), have emerged as the premier architecture for modeling non-Euclidean service topologies. However, existing multimodal systems often apply naive concatenation or static late-stage score averaging, failing to capture non-linear interactions </w:t>
      </w:r>
      <w:r w:rsidRPr="00EA55F4">
        <w:rPr>
          <w:rFonts w:ascii="Times New Roman" w:hAnsi="Times New Roman"/>
          <w:color w:val="000000" w:themeColor="text1"/>
        </w:rPr>
        <w:lastRenderedPageBreak/>
        <w:t>across asynchronous logs, continuous metrics, and dynamic graph structures. Furthermore, existing research frequently neglects model calibration.</w:t>
      </w: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t>3.2 Systematic Comparison of Benchmark Methodologies</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Table I presents a comparative survey evaluating representative benchmark frameworks across publication venues, ingested telemetry modalities, algorithmic architectures, primary operational strengths, architectural limitations, and relevance to the ORCA framework.</w:t>
      </w:r>
    </w:p>
    <w:p w:rsidR="00C118AA" w:rsidRPr="00EA55F4" w:rsidRDefault="00323621" w:rsidP="00EA55F4">
      <w:pPr>
        <w:keepNext/>
        <w:spacing w:before="200" w:after="60"/>
        <w:jc w:val="center"/>
        <w:rPr>
          <w:color w:val="000000" w:themeColor="text1"/>
        </w:rPr>
      </w:pPr>
      <w:r w:rsidRPr="00EA55F4">
        <w:rPr>
          <w:rFonts w:ascii="Times New Roman" w:hAnsi="Times New Roman"/>
          <w:b/>
          <w:color w:val="000000" w:themeColor="text1"/>
          <w:sz w:val="20"/>
        </w:rPr>
        <w:t>TABLE I: SYSTEMATIC COMPARISON OF RELEVANT LITERATURE AND BENCHMARK METHODOLOGIES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6"/>
        <w:gridCol w:w="1095"/>
        <w:gridCol w:w="1143"/>
        <w:gridCol w:w="1665"/>
        <w:gridCol w:w="1655"/>
        <w:gridCol w:w="1538"/>
        <w:gridCol w:w="1203"/>
      </w:tblGrid>
      <w:tr w:rsidR="00EA55F4" w:rsidRPr="00EA55F4">
        <w:trPr>
          <w:jc w:val="center"/>
        </w:trPr>
        <w:tc>
          <w:tcPr>
            <w:tcW w:w="1584" w:type="dxa"/>
            <w:shd w:val="clear" w:color="auto" w:fill="E6E6E6"/>
            <w:tcMar>
              <w:top w:w="100" w:type="dxa"/>
              <w:left w:w="120" w:type="dxa"/>
              <w:bottom w:w="100" w:type="dxa"/>
              <w:right w:w="120" w:type="dxa"/>
            </w:tcMar>
          </w:tcPr>
          <w:p w:rsidR="00C118AA" w:rsidRPr="00EA55F4" w:rsidRDefault="00323621" w:rsidP="00EA55F4">
            <w:pPr>
              <w:spacing w:before="40" w:after="40"/>
              <w:jc w:val="center"/>
              <w:rPr>
                <w:color w:val="000000" w:themeColor="text1"/>
              </w:rPr>
            </w:pPr>
            <w:r w:rsidRPr="00EA55F4">
              <w:rPr>
                <w:rFonts w:ascii="Times New Roman" w:hAnsi="Times New Roman"/>
                <w:b/>
                <w:color w:val="000000" w:themeColor="text1"/>
                <w:sz w:val="19"/>
              </w:rPr>
              <w:t>Reference / Model</w:t>
            </w:r>
          </w:p>
        </w:tc>
        <w:tc>
          <w:tcPr>
            <w:tcW w:w="1152" w:type="dxa"/>
            <w:shd w:val="clear" w:color="auto" w:fill="E6E6E6"/>
            <w:tcMar>
              <w:top w:w="100" w:type="dxa"/>
              <w:left w:w="120" w:type="dxa"/>
              <w:bottom w:w="100" w:type="dxa"/>
              <w:right w:w="120" w:type="dxa"/>
            </w:tcMar>
          </w:tcPr>
          <w:p w:rsidR="00C118AA" w:rsidRPr="00EA55F4" w:rsidRDefault="00323621" w:rsidP="00EA55F4">
            <w:pPr>
              <w:spacing w:before="40" w:after="40"/>
              <w:jc w:val="center"/>
              <w:rPr>
                <w:color w:val="000000" w:themeColor="text1"/>
              </w:rPr>
            </w:pPr>
            <w:r w:rsidRPr="00EA55F4">
              <w:rPr>
                <w:rFonts w:ascii="Times New Roman" w:hAnsi="Times New Roman"/>
                <w:b/>
                <w:color w:val="000000" w:themeColor="text1"/>
                <w:sz w:val="19"/>
              </w:rPr>
              <w:t>Venue &amp; Year</w:t>
            </w:r>
          </w:p>
        </w:tc>
        <w:tc>
          <w:tcPr>
            <w:tcW w:w="1152" w:type="dxa"/>
            <w:shd w:val="clear" w:color="auto" w:fill="E6E6E6"/>
            <w:tcMar>
              <w:top w:w="100" w:type="dxa"/>
              <w:left w:w="120" w:type="dxa"/>
              <w:bottom w:w="100" w:type="dxa"/>
              <w:right w:w="120" w:type="dxa"/>
            </w:tcMar>
          </w:tcPr>
          <w:p w:rsidR="00C118AA" w:rsidRPr="00EA55F4" w:rsidRDefault="00323621" w:rsidP="00EA55F4">
            <w:pPr>
              <w:spacing w:before="40" w:after="40"/>
              <w:jc w:val="center"/>
              <w:rPr>
                <w:color w:val="000000" w:themeColor="text1"/>
              </w:rPr>
            </w:pPr>
            <w:r w:rsidRPr="00EA55F4">
              <w:rPr>
                <w:rFonts w:ascii="Times New Roman" w:hAnsi="Times New Roman"/>
                <w:b/>
                <w:color w:val="000000" w:themeColor="text1"/>
                <w:sz w:val="19"/>
              </w:rPr>
              <w:t>Modalities</w:t>
            </w:r>
          </w:p>
        </w:tc>
        <w:tc>
          <w:tcPr>
            <w:tcW w:w="1728" w:type="dxa"/>
            <w:shd w:val="clear" w:color="auto" w:fill="E6E6E6"/>
            <w:tcMar>
              <w:top w:w="100" w:type="dxa"/>
              <w:left w:w="120" w:type="dxa"/>
              <w:bottom w:w="100" w:type="dxa"/>
              <w:right w:w="120" w:type="dxa"/>
            </w:tcMar>
          </w:tcPr>
          <w:p w:rsidR="00C118AA" w:rsidRPr="00EA55F4" w:rsidRDefault="00323621" w:rsidP="00EA55F4">
            <w:pPr>
              <w:spacing w:before="40" w:after="40"/>
              <w:jc w:val="center"/>
              <w:rPr>
                <w:color w:val="000000" w:themeColor="text1"/>
              </w:rPr>
            </w:pPr>
            <w:r w:rsidRPr="00EA55F4">
              <w:rPr>
                <w:rFonts w:ascii="Times New Roman" w:hAnsi="Times New Roman"/>
                <w:b/>
                <w:color w:val="000000" w:themeColor="text1"/>
                <w:sz w:val="19"/>
              </w:rPr>
              <w:t>Algorithmic Architecture</w:t>
            </w:r>
          </w:p>
        </w:tc>
        <w:tc>
          <w:tcPr>
            <w:tcW w:w="1728" w:type="dxa"/>
            <w:shd w:val="clear" w:color="auto" w:fill="E6E6E6"/>
            <w:tcMar>
              <w:top w:w="100" w:type="dxa"/>
              <w:left w:w="120" w:type="dxa"/>
              <w:bottom w:w="100" w:type="dxa"/>
              <w:right w:w="120" w:type="dxa"/>
            </w:tcMar>
          </w:tcPr>
          <w:p w:rsidR="00C118AA" w:rsidRPr="00EA55F4" w:rsidRDefault="00323621" w:rsidP="00EA55F4">
            <w:pPr>
              <w:spacing w:before="40" w:after="40"/>
              <w:jc w:val="center"/>
              <w:rPr>
                <w:color w:val="000000" w:themeColor="text1"/>
              </w:rPr>
            </w:pPr>
            <w:r w:rsidRPr="00EA55F4">
              <w:rPr>
                <w:rFonts w:ascii="Times New Roman" w:hAnsi="Times New Roman"/>
                <w:b/>
                <w:color w:val="000000" w:themeColor="text1"/>
                <w:sz w:val="19"/>
              </w:rPr>
              <w:t>Key Strengths</w:t>
            </w:r>
          </w:p>
        </w:tc>
        <w:tc>
          <w:tcPr>
            <w:tcW w:w="1584" w:type="dxa"/>
            <w:shd w:val="clear" w:color="auto" w:fill="E6E6E6"/>
            <w:tcMar>
              <w:top w:w="100" w:type="dxa"/>
              <w:left w:w="120" w:type="dxa"/>
              <w:bottom w:w="100" w:type="dxa"/>
              <w:right w:w="120" w:type="dxa"/>
            </w:tcMar>
          </w:tcPr>
          <w:p w:rsidR="00C118AA" w:rsidRPr="00EA55F4" w:rsidRDefault="00323621" w:rsidP="00EA55F4">
            <w:pPr>
              <w:spacing w:before="40" w:after="40"/>
              <w:jc w:val="center"/>
              <w:rPr>
                <w:color w:val="000000" w:themeColor="text1"/>
              </w:rPr>
            </w:pPr>
            <w:r w:rsidRPr="00EA55F4">
              <w:rPr>
                <w:rFonts w:ascii="Times New Roman" w:hAnsi="Times New Roman"/>
                <w:b/>
                <w:color w:val="000000" w:themeColor="text1"/>
                <w:sz w:val="19"/>
              </w:rPr>
              <w:t>Operational Limitations</w:t>
            </w:r>
          </w:p>
        </w:tc>
        <w:tc>
          <w:tcPr>
            <w:tcW w:w="1152" w:type="dxa"/>
            <w:shd w:val="clear" w:color="auto" w:fill="E6E6E6"/>
            <w:tcMar>
              <w:top w:w="100" w:type="dxa"/>
              <w:left w:w="120" w:type="dxa"/>
              <w:bottom w:w="100" w:type="dxa"/>
              <w:right w:w="120" w:type="dxa"/>
            </w:tcMar>
          </w:tcPr>
          <w:p w:rsidR="00C118AA" w:rsidRPr="00EA55F4" w:rsidRDefault="00323621" w:rsidP="00EA55F4">
            <w:pPr>
              <w:spacing w:before="40" w:after="40"/>
              <w:jc w:val="center"/>
              <w:rPr>
                <w:color w:val="000000" w:themeColor="text1"/>
              </w:rPr>
            </w:pPr>
            <w:r w:rsidRPr="00EA55F4">
              <w:rPr>
                <w:rFonts w:ascii="Times New Roman" w:hAnsi="Times New Roman"/>
                <w:b/>
                <w:color w:val="000000" w:themeColor="text1"/>
                <w:sz w:val="19"/>
              </w:rPr>
              <w:t>Relevance</w:t>
            </w:r>
          </w:p>
        </w:tc>
      </w:tr>
      <w:tr w:rsidR="00EA55F4" w:rsidRPr="00EA55F4">
        <w:trPr>
          <w:jc w:val="center"/>
        </w:trPr>
        <w:tc>
          <w:tcPr>
            <w:tcW w:w="1584" w:type="dxa"/>
            <w:shd w:val="clear" w:color="auto" w:fill="FFFFFF"/>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DeepLog (Du et al.) [12]</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ACM CCS 2017</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Logs</w:t>
            </w:r>
          </w:p>
        </w:tc>
        <w:tc>
          <w:tcPr>
            <w:tcW w:w="172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LSTM Sequence Model</w:t>
            </w:r>
          </w:p>
        </w:tc>
        <w:tc>
          <w:tcPr>
            <w:tcW w:w="172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Models execution key paths; detects invalid transitions</w:t>
            </w:r>
          </w:p>
        </w:tc>
        <w:tc>
          <w:tcPr>
            <w:tcW w:w="1584"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Blind to silent metric saturation &amp; resource contention</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Log sequence parsing baseline</w:t>
            </w:r>
          </w:p>
        </w:tc>
      </w:tr>
      <w:tr w:rsidR="00EA55F4" w:rsidRPr="00EA55F4">
        <w:trPr>
          <w:jc w:val="center"/>
        </w:trPr>
        <w:tc>
          <w:tcPr>
            <w:tcW w:w="1584" w:type="dxa"/>
            <w:shd w:val="clear" w:color="auto" w:fill="F9F9F9"/>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LogAnomaly (Meng et al.) [13]</w:t>
            </w:r>
          </w:p>
        </w:tc>
        <w:tc>
          <w:tcPr>
            <w:tcW w:w="1152"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IJCAI 2019</w:t>
            </w:r>
          </w:p>
        </w:tc>
        <w:tc>
          <w:tcPr>
            <w:tcW w:w="1152"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Logs</w:t>
            </w:r>
          </w:p>
        </w:tc>
        <w:tc>
          <w:tcPr>
            <w:tcW w:w="172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Template2Vec + LSTM</w:t>
            </w:r>
          </w:p>
        </w:tc>
        <w:tc>
          <w:tcPr>
            <w:tcW w:w="172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Semantic embeddings; handles unstable log keys</w:t>
            </w:r>
          </w:p>
        </w:tc>
        <w:tc>
          <w:tcPr>
            <w:tcW w:w="1584"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Lacks continuous metric context &amp; topology</w:t>
            </w:r>
          </w:p>
        </w:tc>
        <w:tc>
          <w:tcPr>
            <w:tcW w:w="1152"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Semantic log tokenization foundation</w:t>
            </w:r>
          </w:p>
        </w:tc>
      </w:tr>
      <w:tr w:rsidR="00EA55F4" w:rsidRPr="00EA55F4">
        <w:trPr>
          <w:jc w:val="center"/>
        </w:trPr>
        <w:tc>
          <w:tcPr>
            <w:tcW w:w="1584" w:type="dxa"/>
            <w:shd w:val="clear" w:color="auto" w:fill="FFFFFF"/>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OmniAnomaly (Su et al.) [15]</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ACM KDD 2019</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Metrics</w:t>
            </w:r>
          </w:p>
        </w:tc>
        <w:tc>
          <w:tcPr>
            <w:tcW w:w="172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Stochastic RNN + VAE + Flows</w:t>
            </w:r>
          </w:p>
        </w:tc>
        <w:tc>
          <w:tcPr>
            <w:tcW w:w="172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Captures non-linear temporal correlations across metrics</w:t>
            </w:r>
          </w:p>
        </w:tc>
        <w:tc>
          <w:tcPr>
            <w:tcW w:w="1584"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Compute-intensive; unable to localize root cause in DAG</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Multivariate continuous metric baseline</w:t>
            </w:r>
          </w:p>
        </w:tc>
      </w:tr>
      <w:tr w:rsidR="00EA55F4" w:rsidRPr="00EA55F4">
        <w:trPr>
          <w:jc w:val="center"/>
        </w:trPr>
        <w:tc>
          <w:tcPr>
            <w:tcW w:w="1584" w:type="dxa"/>
            <w:shd w:val="clear" w:color="auto" w:fill="F9F9F9"/>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IsolationForest (Liu et al.) [14]</w:t>
            </w:r>
          </w:p>
        </w:tc>
        <w:tc>
          <w:tcPr>
            <w:tcW w:w="1152"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IEEE ICDM 2008</w:t>
            </w:r>
          </w:p>
        </w:tc>
        <w:tc>
          <w:tcPr>
            <w:tcW w:w="1152"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Metrics</w:t>
            </w:r>
          </w:p>
        </w:tc>
        <w:tc>
          <w:tcPr>
            <w:tcW w:w="172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Tree Partitioning</w:t>
            </w:r>
          </w:p>
        </w:tc>
        <w:tc>
          <w:tcPr>
            <w:tcW w:w="172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Fast unsupervised outlier isolation; low compute overhead</w:t>
            </w:r>
          </w:p>
        </w:tc>
        <w:tc>
          <w:tcPr>
            <w:tcW w:w="1584"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No temporal context; false alarms during traffic surges</w:t>
            </w:r>
          </w:p>
        </w:tc>
        <w:tc>
          <w:tcPr>
            <w:tcW w:w="1152"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Primary unsupervised empirical baseline</w:t>
            </w:r>
          </w:p>
        </w:tc>
      </w:tr>
      <w:tr w:rsidR="00EA55F4" w:rsidRPr="00EA55F4">
        <w:trPr>
          <w:jc w:val="center"/>
        </w:trPr>
        <w:tc>
          <w:tcPr>
            <w:tcW w:w="1584" w:type="dxa"/>
            <w:shd w:val="clear" w:color="auto" w:fill="FFFFFF"/>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XGBoost (Chen &amp; Guestrin) [30]</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ACM KDD 2016</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Metrics (Flat)</w:t>
            </w:r>
          </w:p>
        </w:tc>
        <w:tc>
          <w:tcPr>
            <w:tcW w:w="172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Gradient Boosted Trees</w:t>
            </w:r>
          </w:p>
        </w:tc>
        <w:tc>
          <w:tcPr>
            <w:tcW w:w="172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Robust feature selection; high classification power</w:t>
            </w:r>
          </w:p>
        </w:tc>
        <w:tc>
          <w:tcPr>
            <w:tcW w:w="1584"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No recurrent memory or invocation graph modeling</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Supervised tabular empirical baseline</w:t>
            </w:r>
          </w:p>
        </w:tc>
      </w:tr>
      <w:tr w:rsidR="00EA55F4" w:rsidRPr="00EA55F4">
        <w:trPr>
          <w:jc w:val="center"/>
        </w:trPr>
        <w:tc>
          <w:tcPr>
            <w:tcW w:w="1584" w:type="dxa"/>
            <w:shd w:val="clear" w:color="auto" w:fill="F9F9F9"/>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TraceAnomaly (Liu et al.) [17]</w:t>
            </w:r>
          </w:p>
        </w:tc>
        <w:tc>
          <w:tcPr>
            <w:tcW w:w="1152"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IEEE ICSE 2020</w:t>
            </w:r>
          </w:p>
        </w:tc>
        <w:tc>
          <w:tcPr>
            <w:tcW w:w="1152"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Traces</w:t>
            </w:r>
          </w:p>
        </w:tc>
        <w:tc>
          <w:tcPr>
            <w:tcW w:w="172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Path2Vec + VAE</w:t>
            </w:r>
          </w:p>
        </w:tc>
        <w:tc>
          <w:tcPr>
            <w:tcW w:w="172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Captures execution path structures and latencies</w:t>
            </w:r>
          </w:p>
        </w:tc>
        <w:tc>
          <w:tcPr>
            <w:tcW w:w="1584"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Omits host resource data; cannot diagnose root cause</w:t>
            </w:r>
          </w:p>
        </w:tc>
        <w:tc>
          <w:tcPr>
            <w:tcW w:w="1152"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Distributed trace modeling foundation</w:t>
            </w:r>
          </w:p>
        </w:tc>
      </w:tr>
      <w:tr w:rsidR="00EA55F4" w:rsidRPr="00EA55F4">
        <w:trPr>
          <w:jc w:val="center"/>
        </w:trPr>
        <w:tc>
          <w:tcPr>
            <w:tcW w:w="1584" w:type="dxa"/>
            <w:shd w:val="clear" w:color="auto" w:fill="FFFFFF"/>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MicroCause (Pham et al.) [25]</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ACM WWW 2025</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Metrics + Traces</w:t>
            </w:r>
          </w:p>
        </w:tc>
        <w:tc>
          <w:tcPr>
            <w:tcW w:w="172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Path Analysis + Causal Inference</w:t>
            </w:r>
          </w:p>
        </w:tc>
        <w:tc>
          <w:tcPr>
            <w:tcW w:w="172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Traces causal anomaly propagation across microservices</w:t>
            </w:r>
          </w:p>
        </w:tc>
        <w:tc>
          <w:tcPr>
            <w:tcW w:w="1584"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High computational complexity; sensitive to DAG noise</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State-of-the-art literature benchmark</w:t>
            </w:r>
          </w:p>
        </w:tc>
      </w:tr>
      <w:tr w:rsidR="00EA55F4" w:rsidRPr="00EA55F4">
        <w:trPr>
          <w:jc w:val="center"/>
        </w:trPr>
        <w:tc>
          <w:tcPr>
            <w:tcW w:w="1584" w:type="dxa"/>
            <w:shd w:val="clear" w:color="auto" w:fill="F9F9F9"/>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BARO (Zhang et al.) [26]</w:t>
            </w:r>
          </w:p>
        </w:tc>
        <w:tc>
          <w:tcPr>
            <w:tcW w:w="1152"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ACM FSE 2024</w:t>
            </w:r>
          </w:p>
        </w:tc>
        <w:tc>
          <w:tcPr>
            <w:tcW w:w="1152"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Metrics</w:t>
            </w:r>
          </w:p>
        </w:tc>
        <w:tc>
          <w:tcPr>
            <w:tcW w:w="172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Change-Point + Causal Discovery</w:t>
            </w:r>
          </w:p>
        </w:tc>
        <w:tc>
          <w:tcPr>
            <w:tcW w:w="172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Robust metric trend analysis; effective root cause ranking</w:t>
            </w:r>
          </w:p>
        </w:tc>
        <w:tc>
          <w:tcPr>
            <w:tcW w:w="1584"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Omits log error tokens; vulnerable to propagation lag</w:t>
            </w:r>
          </w:p>
        </w:tc>
        <w:tc>
          <w:tcPr>
            <w:tcW w:w="1152"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Competitive RCA literature baseline</w:t>
            </w:r>
          </w:p>
        </w:tc>
      </w:tr>
      <w:tr w:rsidR="00EA55F4" w:rsidRPr="00EA55F4">
        <w:trPr>
          <w:jc w:val="center"/>
        </w:trPr>
        <w:tc>
          <w:tcPr>
            <w:tcW w:w="1584" w:type="dxa"/>
            <w:shd w:val="clear" w:color="auto" w:fill="FFFFFF"/>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ORCA (Proposed)</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Current Work (2026)</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Logs + Metrics + Traces</w:t>
            </w:r>
          </w:p>
        </w:tc>
        <w:tc>
          <w:tcPr>
            <w:tcW w:w="172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TCN-BiGRU + Log Transformer + GATv2 + Cross-</w:t>
            </w:r>
            <w:r w:rsidRPr="00EA55F4">
              <w:rPr>
                <w:rFonts w:ascii="Times New Roman" w:hAnsi="Times New Roman"/>
                <w:color w:val="000000" w:themeColor="text1"/>
                <w:sz w:val="19"/>
              </w:rPr>
              <w:lastRenderedPageBreak/>
              <w:t>Attention</w:t>
            </w:r>
          </w:p>
        </w:tc>
        <w:tc>
          <w:tcPr>
            <w:tcW w:w="172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lastRenderedPageBreak/>
              <w:t xml:space="preserve">Full tri-modal fusion; dynamic graph attention; </w:t>
            </w:r>
            <w:r w:rsidRPr="00EA55F4">
              <w:rPr>
                <w:rFonts w:ascii="Times New Roman" w:hAnsi="Times New Roman"/>
                <w:color w:val="000000" w:themeColor="text1"/>
                <w:sz w:val="19"/>
              </w:rPr>
              <w:lastRenderedPageBreak/>
              <w:t>calibrated heads</w:t>
            </w:r>
          </w:p>
        </w:tc>
        <w:tc>
          <w:tcPr>
            <w:tcW w:w="1584"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lastRenderedPageBreak/>
              <w:t xml:space="preserve">Requires synchronized multi-source </w:t>
            </w:r>
            <w:r w:rsidRPr="00EA55F4">
              <w:rPr>
                <w:rFonts w:ascii="Times New Roman" w:hAnsi="Times New Roman"/>
                <w:color w:val="000000" w:themeColor="text1"/>
                <w:sz w:val="19"/>
              </w:rPr>
              <w:lastRenderedPageBreak/>
              <w:t>telemetry data</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lastRenderedPageBreak/>
              <w:t xml:space="preserve">Complete end-to-end implemented </w:t>
            </w:r>
            <w:r w:rsidRPr="00EA55F4">
              <w:rPr>
                <w:rFonts w:ascii="Times New Roman" w:hAnsi="Times New Roman"/>
                <w:color w:val="000000" w:themeColor="text1"/>
                <w:sz w:val="19"/>
              </w:rPr>
              <w:lastRenderedPageBreak/>
              <w:t>framework</w:t>
            </w:r>
          </w:p>
        </w:tc>
      </w:tr>
    </w:tbl>
    <w:p w:rsidR="00C118AA" w:rsidRPr="00EA55F4" w:rsidRDefault="00C118AA" w:rsidP="00EA55F4">
      <w:pPr>
        <w:spacing w:after="120"/>
        <w:rPr>
          <w:color w:val="000000" w:themeColor="text1"/>
        </w:rPr>
      </w:pP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t>3.3 Research Gap Addressed</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Existing AIOps literature exhibits three specific research gaps:</w:t>
      </w:r>
      <w:r w:rsidRPr="00EA55F4">
        <w:rPr>
          <w:rFonts w:ascii="Times New Roman" w:hAnsi="Times New Roman"/>
          <w:color w:val="000000" w:themeColor="text1"/>
        </w:rPr>
        <w:br/>
        <w:t xml:space="preserve">1. </w:t>
      </w:r>
      <w:r w:rsidRPr="00EA55F4">
        <w:rPr>
          <w:rFonts w:ascii="Times New Roman" w:hAnsi="Times New Roman"/>
          <w:b/>
          <w:color w:val="000000" w:themeColor="text1"/>
        </w:rPr>
        <w:t>Absence of Unified Tri-Modal Reasoning:</w:t>
      </w:r>
      <w:r w:rsidRPr="00EA55F4">
        <w:rPr>
          <w:rFonts w:ascii="Times New Roman" w:hAnsi="Times New Roman"/>
          <w:color w:val="000000" w:themeColor="text1"/>
        </w:rPr>
        <w:t xml:space="preserve"> Existing frameworks combine at most two telemetry sources. A unified system that dynamically correlates continuous time-series metrics, discrete semantic log tokens, and non-Euclidean trace invocation topologies has not been comprehensively realized.</w:t>
      </w:r>
      <w:r w:rsidRPr="00EA55F4">
        <w:rPr>
          <w:rFonts w:ascii="Times New Roman" w:hAnsi="Times New Roman"/>
          <w:color w:val="000000" w:themeColor="text1"/>
        </w:rPr>
        <w:br/>
        <w:t xml:space="preserve">2. </w:t>
      </w:r>
      <w:r w:rsidRPr="00EA55F4">
        <w:rPr>
          <w:rFonts w:ascii="Times New Roman" w:hAnsi="Times New Roman"/>
          <w:b/>
          <w:color w:val="000000" w:themeColor="text1"/>
        </w:rPr>
        <w:t>Topological Disconnect in RCA:</w:t>
      </w:r>
      <w:r w:rsidRPr="00EA55F4">
        <w:rPr>
          <w:rFonts w:ascii="Times New Roman" w:hAnsi="Times New Roman"/>
          <w:color w:val="000000" w:themeColor="text1"/>
        </w:rPr>
        <w:t xml:space="preserve"> Metric-only and log-only classifiers fail in isolating the root-cause microservice during cascading failures because downstream services exhibit severe collateral symptoms. Root-cause localization must be conditioned explicitly on the runtime invocation graph.</w:t>
      </w:r>
      <w:r w:rsidRPr="00EA55F4">
        <w:rPr>
          <w:rFonts w:ascii="Times New Roman" w:hAnsi="Times New Roman"/>
          <w:color w:val="000000" w:themeColor="text1"/>
        </w:rPr>
        <w:br/>
        <w:t xml:space="preserve">3. </w:t>
      </w:r>
      <w:r w:rsidRPr="00EA55F4">
        <w:rPr>
          <w:rFonts w:ascii="Times New Roman" w:hAnsi="Times New Roman"/>
          <w:b/>
          <w:color w:val="000000" w:themeColor="text1"/>
        </w:rPr>
        <w:t>Probability Miscalibration:</w:t>
      </w:r>
      <w:r w:rsidRPr="00EA55F4">
        <w:rPr>
          <w:rFonts w:ascii="Times New Roman" w:hAnsi="Times New Roman"/>
          <w:color w:val="000000" w:themeColor="text1"/>
        </w:rPr>
        <w:t xml:space="preserve"> Modern deep neural networks output overconfident probability scores. Uncalibrated predictions cannot be safely integrated into automated remediation pipelines.</w:t>
      </w:r>
    </w:p>
    <w:p w:rsidR="00C118AA" w:rsidRPr="00EA55F4" w:rsidRDefault="00323621" w:rsidP="00EA55F4">
      <w:pPr>
        <w:keepNext/>
        <w:spacing w:before="280" w:after="60"/>
        <w:rPr>
          <w:color w:val="000000" w:themeColor="text1"/>
        </w:rPr>
      </w:pPr>
      <w:r w:rsidRPr="00EA55F4">
        <w:rPr>
          <w:rFonts w:ascii="Times New Roman" w:hAnsi="Times New Roman"/>
          <w:b/>
          <w:color w:val="000000" w:themeColor="text1"/>
          <w:sz w:val="25"/>
        </w:rPr>
        <w:t>4. METHODOLOGY</w:t>
      </w: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t>4.1 System Architecture and End-to-End Workflow</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Figure 1 illustrates the end-to-end system architecture of ORCA. The framework operates across five interconnected stages: (1) Multimodal Ingestion and Temporal Window Synchronization, (2) Modality-Specific Deep Neural Encoders, (3) Multimodal Cross-Attention Fusion, (4) Multi-Task Learning Decision Heads, and (5) Post-Hoc Probability Calibration and Operational Serving.</w:t>
      </w:r>
    </w:p>
    <w:p w:rsidR="00C118AA" w:rsidRPr="00EA55F4" w:rsidRDefault="00323621" w:rsidP="00EA55F4">
      <w:pPr>
        <w:spacing w:before="160" w:after="40"/>
        <w:jc w:val="center"/>
        <w:rPr>
          <w:color w:val="000000" w:themeColor="text1"/>
        </w:rPr>
      </w:pPr>
      <w:r w:rsidRPr="00EA55F4">
        <w:rPr>
          <w:noProof/>
          <w:color w:val="000000" w:themeColor="text1"/>
          <w:lang w:val="en-IN" w:eastAsia="en-IN"/>
        </w:rPr>
        <w:drawing>
          <wp:inline distT="0" distB="0" distL="0" distR="0" wp14:anchorId="4EAF56BA" wp14:editId="379F0319">
            <wp:extent cx="5303520" cy="30142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rca_architecture.png"/>
                    <pic:cNvPicPr/>
                  </pic:nvPicPr>
                  <pic:blipFill>
                    <a:blip r:embed="rId8"/>
                    <a:stretch>
                      <a:fillRect/>
                    </a:stretch>
                  </pic:blipFill>
                  <pic:spPr>
                    <a:xfrm>
                      <a:off x="0" y="0"/>
                      <a:ext cx="5303520" cy="3014231"/>
                    </a:xfrm>
                    <a:prstGeom prst="rect">
                      <a:avLst/>
                    </a:prstGeom>
                  </pic:spPr>
                </pic:pic>
              </a:graphicData>
            </a:graphic>
          </wp:inline>
        </w:drawing>
      </w:r>
    </w:p>
    <w:p w:rsidR="00C118AA" w:rsidRPr="00EA55F4" w:rsidRDefault="00323621" w:rsidP="00EA55F4">
      <w:pPr>
        <w:spacing w:before="40"/>
        <w:jc w:val="center"/>
        <w:rPr>
          <w:color w:val="000000" w:themeColor="text1"/>
        </w:rPr>
      </w:pPr>
      <w:r w:rsidRPr="00EA55F4">
        <w:rPr>
          <w:rFonts w:ascii="Times New Roman" w:hAnsi="Times New Roman"/>
          <w:i/>
          <w:color w:val="000000" w:themeColor="text1"/>
          <w:sz w:val="19"/>
        </w:rPr>
        <w:t>Figure 1: High-level architectural dataflow of the ORCA framework, illustrating telemetry ingestion, deep modality encoders, multimodal cross-attention fusion, multi-task heads, and serving interfaces.</w:t>
      </w: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t>4.2 Mathematical Problem Formulation</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Let a cloud-native microservice architecture consist of N interdependent services:</w:t>
      </w:r>
      <w:r w:rsidRPr="00EA55F4">
        <w:rPr>
          <w:rFonts w:ascii="Times New Roman" w:hAnsi="Times New Roman"/>
          <w:color w:val="000000" w:themeColor="text1"/>
        </w:rPr>
        <w:br/>
        <w:t>S = {s_1, s_2, ..., s_N}. In our implementation on the Google Online Boutique benchmark, N = 10, comprising: {adservice, cartservice, checkoutservice, currencyservice, emailservice, frontend, paymentservice, productcatalogservice, recommendationservice, shippingservice}.</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For any synchronized observation window W_t of duration T = 15 seconds, the multimodal telemetry input is defined as the tuple:</w:t>
      </w:r>
    </w:p>
    <w:tbl>
      <w:tblPr>
        <w:tblW w:w="0" w:type="auto"/>
        <w:jc w:val="center"/>
        <w:tblLook w:val="04A0" w:firstRow="1" w:lastRow="0" w:firstColumn="1" w:lastColumn="0" w:noHBand="0" w:noVBand="1"/>
      </w:tblPr>
      <w:tblGrid>
        <w:gridCol w:w="8064"/>
        <w:gridCol w:w="1152"/>
      </w:tblGrid>
      <w:tr w:rsidR="00EA55F4" w:rsidRPr="00EA55F4">
        <w:trPr>
          <w:jc w:val="center"/>
        </w:trPr>
        <w:tc>
          <w:tcPr>
            <w:tcW w:w="8064" w:type="dxa"/>
            <w:tcMar>
              <w:top w:w="30" w:type="dxa"/>
              <w:left w:w="30" w:type="dxa"/>
              <w:bottom w:w="30" w:type="dxa"/>
              <w:right w:w="30" w:type="dxa"/>
            </w:tcMar>
          </w:tcPr>
          <w:p w:rsidR="00C118AA" w:rsidRPr="00EA55F4" w:rsidRDefault="00323621" w:rsidP="00EA55F4">
            <w:pPr>
              <w:spacing w:before="40" w:after="40"/>
              <w:jc w:val="center"/>
              <w:rPr>
                <w:color w:val="000000" w:themeColor="text1"/>
              </w:rPr>
            </w:pPr>
            <w:r w:rsidRPr="00EA55F4">
              <w:rPr>
                <w:rFonts w:ascii="Cambria Math" w:hAnsi="Cambria Math"/>
                <w:i/>
                <w:color w:val="000000" w:themeColor="text1"/>
                <w:sz w:val="21"/>
              </w:rPr>
              <w:lastRenderedPageBreak/>
              <w:t>W_t = ( M_t,  L_t,  G_t )</w:t>
            </w:r>
          </w:p>
        </w:tc>
        <w:tc>
          <w:tcPr>
            <w:tcW w:w="1152" w:type="dxa"/>
            <w:tcMar>
              <w:top w:w="30" w:type="dxa"/>
              <w:left w:w="30" w:type="dxa"/>
              <w:bottom w:w="30" w:type="dxa"/>
              <w:right w:w="30" w:type="dxa"/>
            </w:tcMar>
          </w:tcPr>
          <w:p w:rsidR="00C118AA" w:rsidRPr="00EA55F4" w:rsidRDefault="00323621" w:rsidP="00EA55F4">
            <w:pPr>
              <w:spacing w:before="40" w:after="40"/>
              <w:jc w:val="right"/>
              <w:rPr>
                <w:color w:val="000000" w:themeColor="text1"/>
              </w:rPr>
            </w:pPr>
            <w:r w:rsidRPr="00EA55F4">
              <w:rPr>
                <w:rFonts w:ascii="Times New Roman" w:hAnsi="Times New Roman"/>
                <w:b/>
                <w:color w:val="000000" w:themeColor="text1"/>
                <w:sz w:val="20"/>
              </w:rPr>
              <w:t>(1)</w:t>
            </w:r>
          </w:p>
        </w:tc>
      </w:tr>
    </w:tbl>
    <w:p w:rsidR="00C118AA" w:rsidRPr="00EA55F4" w:rsidRDefault="00C118AA" w:rsidP="00EA55F4">
      <w:pPr>
        <w:spacing w:after="40"/>
        <w:rPr>
          <w:color w:val="000000" w:themeColor="text1"/>
        </w:rPr>
      </w:pP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where M_t in R^(T x C) represents continuous metrics sampled at 1Hz across C = 70 canonical Prometheus channels; L_t = (t_t, s_t) represents discrete system logs comprising token sequence t_t in N^L (L = 64, |V| = 500) and service keyword rates s_t in R^20; and G_t = (V_t, E_t, X_t, A_t, u_t) represents the distributed trace dependency graph with node feature matrix X_t in R^(N x 27), directed adjacency matrix A_t in R^(N x N) normalized by out-degree, and global trace statistics u_t in R^4.</w:t>
      </w:r>
    </w:p>
    <w:p w:rsidR="00C118AA" w:rsidRPr="00EA55F4" w:rsidRDefault="00323621" w:rsidP="00EA55F4">
      <w:pPr>
        <w:spacing w:before="160" w:after="40"/>
        <w:jc w:val="center"/>
        <w:rPr>
          <w:color w:val="000000" w:themeColor="text1"/>
        </w:rPr>
      </w:pPr>
      <w:r w:rsidRPr="00EA55F4">
        <w:rPr>
          <w:noProof/>
          <w:color w:val="000000" w:themeColor="text1"/>
          <w:lang w:val="en-IN" w:eastAsia="en-IN"/>
        </w:rPr>
        <w:drawing>
          <wp:inline distT="0" distB="0" distL="0" distR="0" wp14:anchorId="6A46B4A4" wp14:editId="358CDA42">
            <wp:extent cx="5303520" cy="26326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rca_multimodal_fusion.png"/>
                    <pic:cNvPicPr/>
                  </pic:nvPicPr>
                  <pic:blipFill>
                    <a:blip r:embed="rId9"/>
                    <a:stretch>
                      <a:fillRect/>
                    </a:stretch>
                  </pic:blipFill>
                  <pic:spPr>
                    <a:xfrm>
                      <a:off x="0" y="0"/>
                      <a:ext cx="5303520" cy="2632683"/>
                    </a:xfrm>
                    <a:prstGeom prst="rect">
                      <a:avLst/>
                    </a:prstGeom>
                  </pic:spPr>
                </pic:pic>
              </a:graphicData>
            </a:graphic>
          </wp:inline>
        </w:drawing>
      </w:r>
    </w:p>
    <w:p w:rsidR="00C118AA" w:rsidRPr="00EA55F4" w:rsidRDefault="00323621" w:rsidP="00EA55F4">
      <w:pPr>
        <w:spacing w:before="40"/>
        <w:jc w:val="center"/>
        <w:rPr>
          <w:color w:val="000000" w:themeColor="text1"/>
        </w:rPr>
      </w:pPr>
      <w:r w:rsidRPr="00EA55F4">
        <w:rPr>
          <w:rFonts w:ascii="Times New Roman" w:hAnsi="Times New Roman"/>
          <w:i/>
          <w:color w:val="000000" w:themeColor="text1"/>
          <w:sz w:val="19"/>
        </w:rPr>
        <w:t>Figure 2: Detailed tensor flow diagram depicting modality encoding, sequence stacking, multi-head cross-attention fusion, and graph-conditioned root-cause node projection.</w:t>
      </w: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t>4.3 Deep Modality Encoders</w:t>
      </w:r>
    </w:p>
    <w:p w:rsidR="00C118AA" w:rsidRPr="00EA55F4" w:rsidRDefault="00323621" w:rsidP="00EA55F4">
      <w:pPr>
        <w:keepNext/>
        <w:spacing w:before="140" w:after="40"/>
        <w:rPr>
          <w:color w:val="000000" w:themeColor="text1"/>
        </w:rPr>
      </w:pPr>
      <w:r w:rsidRPr="00EA55F4">
        <w:rPr>
          <w:rFonts w:ascii="Times New Roman" w:hAnsi="Times New Roman"/>
          <w:b/>
          <w:color w:val="000000" w:themeColor="text1"/>
        </w:rPr>
        <w:t>4.3.1 Metric Temporal Encoder (TCN + Bi-GRU)</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Continuous metric time series exhibit both localized rapid fluctuations and extended trends. We employ a 1D Dilated Causal Temporal Convolutional Network (TCN) coupled with a Bidirectional GRU. The 1D causal dilated convolution at step tau with filter f_k of size K and dilation factor d is formulated as:</w:t>
      </w:r>
    </w:p>
    <w:tbl>
      <w:tblPr>
        <w:tblW w:w="0" w:type="auto"/>
        <w:jc w:val="center"/>
        <w:tblLook w:val="04A0" w:firstRow="1" w:lastRow="0" w:firstColumn="1" w:lastColumn="0" w:noHBand="0" w:noVBand="1"/>
      </w:tblPr>
      <w:tblGrid>
        <w:gridCol w:w="8064"/>
        <w:gridCol w:w="1152"/>
      </w:tblGrid>
      <w:tr w:rsidR="00EA55F4" w:rsidRPr="00EA55F4">
        <w:trPr>
          <w:jc w:val="center"/>
        </w:trPr>
        <w:tc>
          <w:tcPr>
            <w:tcW w:w="8064" w:type="dxa"/>
            <w:tcMar>
              <w:top w:w="30" w:type="dxa"/>
              <w:left w:w="30" w:type="dxa"/>
              <w:bottom w:w="30" w:type="dxa"/>
              <w:right w:w="30" w:type="dxa"/>
            </w:tcMar>
          </w:tcPr>
          <w:p w:rsidR="00C118AA" w:rsidRPr="00EA55F4" w:rsidRDefault="00323621" w:rsidP="00EA55F4">
            <w:pPr>
              <w:spacing w:before="40" w:after="40"/>
              <w:jc w:val="center"/>
              <w:rPr>
                <w:color w:val="000000" w:themeColor="text1"/>
              </w:rPr>
            </w:pPr>
            <w:r w:rsidRPr="00EA55F4">
              <w:rPr>
                <w:rFonts w:ascii="Cambria Math" w:hAnsi="Cambria Math"/>
                <w:i/>
                <w:color w:val="000000" w:themeColor="text1"/>
                <w:sz w:val="21"/>
              </w:rPr>
              <w:t>h_tcn(tau) = sum_{k=0}^{K-1} f_k * M_t(tau - d * k)</w:t>
            </w:r>
          </w:p>
        </w:tc>
        <w:tc>
          <w:tcPr>
            <w:tcW w:w="1152" w:type="dxa"/>
            <w:tcMar>
              <w:top w:w="30" w:type="dxa"/>
              <w:left w:w="30" w:type="dxa"/>
              <w:bottom w:w="30" w:type="dxa"/>
              <w:right w:w="30" w:type="dxa"/>
            </w:tcMar>
          </w:tcPr>
          <w:p w:rsidR="00C118AA" w:rsidRPr="00EA55F4" w:rsidRDefault="00323621" w:rsidP="00EA55F4">
            <w:pPr>
              <w:spacing w:before="40" w:after="40"/>
              <w:jc w:val="right"/>
              <w:rPr>
                <w:color w:val="000000" w:themeColor="text1"/>
              </w:rPr>
            </w:pPr>
            <w:r w:rsidRPr="00EA55F4">
              <w:rPr>
                <w:rFonts w:ascii="Times New Roman" w:hAnsi="Times New Roman"/>
                <w:b/>
                <w:color w:val="000000" w:themeColor="text1"/>
                <w:sz w:val="20"/>
              </w:rPr>
              <w:t>(2)</w:t>
            </w:r>
          </w:p>
        </w:tc>
      </w:tr>
    </w:tbl>
    <w:p w:rsidR="00C118AA" w:rsidRPr="00EA55F4" w:rsidRDefault="00C118AA" w:rsidP="00EA55F4">
      <w:pPr>
        <w:spacing w:after="40"/>
        <w:rPr>
          <w:color w:val="000000" w:themeColor="text1"/>
        </w:rPr>
      </w:pP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We stack two dilated convolutional layers with dilation factors d in {1, 2}, kernel size K = 3, batch normalization, and GELU non-linearities. The extracted temporal features are subsequently modeled by a Bidirectional GRU (Bi-GRU):</w:t>
      </w:r>
    </w:p>
    <w:tbl>
      <w:tblPr>
        <w:tblW w:w="0" w:type="auto"/>
        <w:jc w:val="center"/>
        <w:tblLook w:val="04A0" w:firstRow="1" w:lastRow="0" w:firstColumn="1" w:lastColumn="0" w:noHBand="0" w:noVBand="1"/>
      </w:tblPr>
      <w:tblGrid>
        <w:gridCol w:w="8064"/>
        <w:gridCol w:w="1152"/>
      </w:tblGrid>
      <w:tr w:rsidR="00EA55F4" w:rsidRPr="00EA55F4">
        <w:trPr>
          <w:jc w:val="center"/>
        </w:trPr>
        <w:tc>
          <w:tcPr>
            <w:tcW w:w="8064" w:type="dxa"/>
            <w:tcMar>
              <w:top w:w="30" w:type="dxa"/>
              <w:left w:w="30" w:type="dxa"/>
              <w:bottom w:w="30" w:type="dxa"/>
              <w:right w:w="30" w:type="dxa"/>
            </w:tcMar>
          </w:tcPr>
          <w:p w:rsidR="00C118AA" w:rsidRPr="00EA55F4" w:rsidRDefault="00323621" w:rsidP="00EA55F4">
            <w:pPr>
              <w:spacing w:before="40" w:after="40"/>
              <w:jc w:val="center"/>
              <w:rPr>
                <w:color w:val="000000" w:themeColor="text1"/>
              </w:rPr>
            </w:pPr>
            <w:r w:rsidRPr="00EA55F4">
              <w:rPr>
                <w:rFonts w:ascii="Cambria Math" w:hAnsi="Cambria Math"/>
                <w:i/>
                <w:color w:val="000000" w:themeColor="text1"/>
                <w:sz w:val="21"/>
              </w:rPr>
              <w:t>h_fwd,tau = GRU_fwd(H_tcn[tau], h_fwd,tau-1),    h_bwd,tau = GRU_bwd(H_tcn[tau], h_bwd,tau+1)</w:t>
            </w:r>
          </w:p>
        </w:tc>
        <w:tc>
          <w:tcPr>
            <w:tcW w:w="1152" w:type="dxa"/>
            <w:tcMar>
              <w:top w:w="30" w:type="dxa"/>
              <w:left w:w="30" w:type="dxa"/>
              <w:bottom w:w="30" w:type="dxa"/>
              <w:right w:w="30" w:type="dxa"/>
            </w:tcMar>
          </w:tcPr>
          <w:p w:rsidR="00C118AA" w:rsidRPr="00EA55F4" w:rsidRDefault="00323621" w:rsidP="00EA55F4">
            <w:pPr>
              <w:spacing w:before="40" w:after="40"/>
              <w:jc w:val="right"/>
              <w:rPr>
                <w:color w:val="000000" w:themeColor="text1"/>
              </w:rPr>
            </w:pPr>
            <w:r w:rsidRPr="00EA55F4">
              <w:rPr>
                <w:rFonts w:ascii="Times New Roman" w:hAnsi="Times New Roman"/>
                <w:b/>
                <w:color w:val="000000" w:themeColor="text1"/>
                <w:sz w:val="20"/>
              </w:rPr>
              <w:t>(3)</w:t>
            </w:r>
          </w:p>
        </w:tc>
      </w:tr>
    </w:tbl>
    <w:p w:rsidR="00C118AA" w:rsidRPr="00EA55F4" w:rsidRDefault="00C118AA" w:rsidP="00EA55F4">
      <w:pPr>
        <w:spacing w:after="40"/>
        <w:rPr>
          <w:color w:val="000000" w:themeColor="text1"/>
        </w:rPr>
      </w:pP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The final forward and initial backward hidden states are concatenated and projected to the latent embedding dimension D = 64:</w:t>
      </w:r>
    </w:p>
    <w:tbl>
      <w:tblPr>
        <w:tblW w:w="0" w:type="auto"/>
        <w:jc w:val="center"/>
        <w:tblLook w:val="04A0" w:firstRow="1" w:lastRow="0" w:firstColumn="1" w:lastColumn="0" w:noHBand="0" w:noVBand="1"/>
      </w:tblPr>
      <w:tblGrid>
        <w:gridCol w:w="8064"/>
        <w:gridCol w:w="1152"/>
      </w:tblGrid>
      <w:tr w:rsidR="00EA55F4" w:rsidRPr="00EA55F4">
        <w:trPr>
          <w:jc w:val="center"/>
        </w:trPr>
        <w:tc>
          <w:tcPr>
            <w:tcW w:w="8064" w:type="dxa"/>
            <w:tcMar>
              <w:top w:w="30" w:type="dxa"/>
              <w:left w:w="30" w:type="dxa"/>
              <w:bottom w:w="30" w:type="dxa"/>
              <w:right w:w="30" w:type="dxa"/>
            </w:tcMar>
          </w:tcPr>
          <w:p w:rsidR="00C118AA" w:rsidRPr="00EA55F4" w:rsidRDefault="00323621" w:rsidP="00EA55F4">
            <w:pPr>
              <w:spacing w:before="40" w:after="40"/>
              <w:jc w:val="center"/>
              <w:rPr>
                <w:color w:val="000000" w:themeColor="text1"/>
              </w:rPr>
            </w:pPr>
            <w:r w:rsidRPr="00EA55F4">
              <w:rPr>
                <w:rFonts w:ascii="Cambria Math" w:hAnsi="Cambria Math"/>
                <w:i/>
                <w:color w:val="000000" w:themeColor="text1"/>
                <w:sz w:val="21"/>
              </w:rPr>
              <w:t>z_metric = GELU( W_m * [ h_fwd,T  ||  h_bwd,1 ] + b_m ) in R^D</w:t>
            </w:r>
          </w:p>
        </w:tc>
        <w:tc>
          <w:tcPr>
            <w:tcW w:w="1152" w:type="dxa"/>
            <w:tcMar>
              <w:top w:w="30" w:type="dxa"/>
              <w:left w:w="30" w:type="dxa"/>
              <w:bottom w:w="30" w:type="dxa"/>
              <w:right w:w="30" w:type="dxa"/>
            </w:tcMar>
          </w:tcPr>
          <w:p w:rsidR="00C118AA" w:rsidRPr="00EA55F4" w:rsidRDefault="00323621" w:rsidP="00EA55F4">
            <w:pPr>
              <w:spacing w:before="40" w:after="40"/>
              <w:jc w:val="right"/>
              <w:rPr>
                <w:color w:val="000000" w:themeColor="text1"/>
              </w:rPr>
            </w:pPr>
            <w:r w:rsidRPr="00EA55F4">
              <w:rPr>
                <w:rFonts w:ascii="Times New Roman" w:hAnsi="Times New Roman"/>
                <w:b/>
                <w:color w:val="000000" w:themeColor="text1"/>
                <w:sz w:val="20"/>
              </w:rPr>
              <w:t>(4)</w:t>
            </w:r>
          </w:p>
        </w:tc>
      </w:tr>
    </w:tbl>
    <w:p w:rsidR="00C118AA" w:rsidRPr="00EA55F4" w:rsidRDefault="00C118AA" w:rsidP="00EA55F4">
      <w:pPr>
        <w:spacing w:after="40"/>
        <w:rPr>
          <w:color w:val="000000" w:themeColor="text1"/>
        </w:rPr>
      </w:pPr>
    </w:p>
    <w:p w:rsidR="00C118AA" w:rsidRPr="00EA55F4" w:rsidRDefault="00323621" w:rsidP="00EA55F4">
      <w:pPr>
        <w:keepNext/>
        <w:spacing w:before="140" w:after="40"/>
        <w:rPr>
          <w:color w:val="000000" w:themeColor="text1"/>
        </w:rPr>
      </w:pPr>
      <w:r w:rsidRPr="00EA55F4">
        <w:rPr>
          <w:rFonts w:ascii="Times New Roman" w:hAnsi="Times New Roman"/>
          <w:b/>
          <w:color w:val="000000" w:themeColor="text1"/>
        </w:rPr>
        <w:t>4.3.2 Log Transformer Encoder</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System log strings within window W_t are tokenized into integer sequence t_t = (t_1, ..., t_L) of length L = 64. Tokens are mapped through learned embedding matrix E in R^(|V| x d_e) (d_e = 32) and augmented with fixed sinusoidal positional embeddings P in R^(L x d_e):</w:t>
      </w:r>
    </w:p>
    <w:tbl>
      <w:tblPr>
        <w:tblW w:w="0" w:type="auto"/>
        <w:jc w:val="center"/>
        <w:tblLook w:val="04A0" w:firstRow="1" w:lastRow="0" w:firstColumn="1" w:lastColumn="0" w:noHBand="0" w:noVBand="1"/>
      </w:tblPr>
      <w:tblGrid>
        <w:gridCol w:w="8064"/>
        <w:gridCol w:w="1152"/>
      </w:tblGrid>
      <w:tr w:rsidR="00EA55F4" w:rsidRPr="00EA55F4">
        <w:trPr>
          <w:jc w:val="center"/>
        </w:trPr>
        <w:tc>
          <w:tcPr>
            <w:tcW w:w="8064" w:type="dxa"/>
            <w:tcMar>
              <w:top w:w="30" w:type="dxa"/>
              <w:left w:w="30" w:type="dxa"/>
              <w:bottom w:w="30" w:type="dxa"/>
              <w:right w:w="30" w:type="dxa"/>
            </w:tcMar>
          </w:tcPr>
          <w:p w:rsidR="00C118AA" w:rsidRPr="00EA55F4" w:rsidRDefault="00323621" w:rsidP="00EA55F4">
            <w:pPr>
              <w:spacing w:before="40" w:after="40"/>
              <w:jc w:val="center"/>
              <w:rPr>
                <w:color w:val="000000" w:themeColor="text1"/>
              </w:rPr>
            </w:pPr>
            <w:r w:rsidRPr="00EA55F4">
              <w:rPr>
                <w:rFonts w:ascii="Cambria Math" w:hAnsi="Cambria Math"/>
                <w:i/>
                <w:color w:val="000000" w:themeColor="text1"/>
                <w:sz w:val="21"/>
              </w:rPr>
              <w:lastRenderedPageBreak/>
              <w:t>H_0^log = E(t_i) + P_i,    i in {1, ..., L}</w:t>
            </w:r>
          </w:p>
        </w:tc>
        <w:tc>
          <w:tcPr>
            <w:tcW w:w="1152" w:type="dxa"/>
            <w:tcMar>
              <w:top w:w="30" w:type="dxa"/>
              <w:left w:w="30" w:type="dxa"/>
              <w:bottom w:w="30" w:type="dxa"/>
              <w:right w:w="30" w:type="dxa"/>
            </w:tcMar>
          </w:tcPr>
          <w:p w:rsidR="00C118AA" w:rsidRPr="00EA55F4" w:rsidRDefault="00323621" w:rsidP="00EA55F4">
            <w:pPr>
              <w:spacing w:before="40" w:after="40"/>
              <w:jc w:val="right"/>
              <w:rPr>
                <w:color w:val="000000" w:themeColor="text1"/>
              </w:rPr>
            </w:pPr>
            <w:r w:rsidRPr="00EA55F4">
              <w:rPr>
                <w:rFonts w:ascii="Times New Roman" w:hAnsi="Times New Roman"/>
                <w:b/>
                <w:color w:val="000000" w:themeColor="text1"/>
                <w:sz w:val="20"/>
              </w:rPr>
              <w:t>(5)</w:t>
            </w:r>
          </w:p>
        </w:tc>
      </w:tr>
    </w:tbl>
    <w:p w:rsidR="00C118AA" w:rsidRPr="00EA55F4" w:rsidRDefault="00C118AA" w:rsidP="00EA55F4">
      <w:pPr>
        <w:spacing w:after="40"/>
        <w:rPr>
          <w:color w:val="000000" w:themeColor="text1"/>
        </w:rPr>
      </w:pP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The representation is encoded via a multi-head self-attention Transformer layer:</w:t>
      </w:r>
    </w:p>
    <w:tbl>
      <w:tblPr>
        <w:tblW w:w="0" w:type="auto"/>
        <w:jc w:val="center"/>
        <w:tblLook w:val="04A0" w:firstRow="1" w:lastRow="0" w:firstColumn="1" w:lastColumn="0" w:noHBand="0" w:noVBand="1"/>
      </w:tblPr>
      <w:tblGrid>
        <w:gridCol w:w="8064"/>
        <w:gridCol w:w="1152"/>
      </w:tblGrid>
      <w:tr w:rsidR="00EA55F4" w:rsidRPr="00EA55F4">
        <w:trPr>
          <w:jc w:val="center"/>
        </w:trPr>
        <w:tc>
          <w:tcPr>
            <w:tcW w:w="8064" w:type="dxa"/>
            <w:tcMar>
              <w:top w:w="30" w:type="dxa"/>
              <w:left w:w="30" w:type="dxa"/>
              <w:bottom w:w="30" w:type="dxa"/>
              <w:right w:w="30" w:type="dxa"/>
            </w:tcMar>
          </w:tcPr>
          <w:p w:rsidR="00C118AA" w:rsidRPr="00EA55F4" w:rsidRDefault="00323621" w:rsidP="00EA55F4">
            <w:pPr>
              <w:spacing w:before="40" w:after="40"/>
              <w:jc w:val="center"/>
              <w:rPr>
                <w:color w:val="000000" w:themeColor="text1"/>
              </w:rPr>
            </w:pPr>
            <w:r w:rsidRPr="00EA55F4">
              <w:rPr>
                <w:rFonts w:ascii="Cambria Math" w:hAnsi="Cambria Math"/>
                <w:i/>
                <w:color w:val="000000" w:themeColor="text1"/>
                <w:sz w:val="21"/>
              </w:rPr>
              <w:t>Attention(Q, K, V) = softmax( (Q * K^T) / sqrt(d_k) ) * V</w:t>
            </w:r>
          </w:p>
        </w:tc>
        <w:tc>
          <w:tcPr>
            <w:tcW w:w="1152" w:type="dxa"/>
            <w:tcMar>
              <w:top w:w="30" w:type="dxa"/>
              <w:left w:w="30" w:type="dxa"/>
              <w:bottom w:w="30" w:type="dxa"/>
              <w:right w:w="30" w:type="dxa"/>
            </w:tcMar>
          </w:tcPr>
          <w:p w:rsidR="00C118AA" w:rsidRPr="00EA55F4" w:rsidRDefault="00323621" w:rsidP="00EA55F4">
            <w:pPr>
              <w:spacing w:before="40" w:after="40"/>
              <w:jc w:val="right"/>
              <w:rPr>
                <w:color w:val="000000" w:themeColor="text1"/>
              </w:rPr>
            </w:pPr>
            <w:r w:rsidRPr="00EA55F4">
              <w:rPr>
                <w:rFonts w:ascii="Times New Roman" w:hAnsi="Times New Roman"/>
                <w:b/>
                <w:color w:val="000000" w:themeColor="text1"/>
                <w:sz w:val="20"/>
              </w:rPr>
              <w:t>(6)</w:t>
            </w:r>
          </w:p>
        </w:tc>
      </w:tr>
    </w:tbl>
    <w:p w:rsidR="00C118AA" w:rsidRPr="00EA55F4" w:rsidRDefault="00C118AA" w:rsidP="00EA55F4">
      <w:pPr>
        <w:spacing w:after="40"/>
        <w:rPr>
          <w:color w:val="000000" w:themeColor="text1"/>
        </w:rPr>
      </w:pP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Following multi-head aggregation and layer normalization, the token sequence is compressed via global average pooling and concatenated with normalized service-level keyword statistics s_t in R^20:</w:t>
      </w:r>
    </w:p>
    <w:tbl>
      <w:tblPr>
        <w:tblW w:w="0" w:type="auto"/>
        <w:jc w:val="center"/>
        <w:tblLook w:val="04A0" w:firstRow="1" w:lastRow="0" w:firstColumn="1" w:lastColumn="0" w:noHBand="0" w:noVBand="1"/>
      </w:tblPr>
      <w:tblGrid>
        <w:gridCol w:w="8064"/>
        <w:gridCol w:w="1152"/>
      </w:tblGrid>
      <w:tr w:rsidR="00EA55F4" w:rsidRPr="00EA55F4">
        <w:trPr>
          <w:jc w:val="center"/>
        </w:trPr>
        <w:tc>
          <w:tcPr>
            <w:tcW w:w="8064" w:type="dxa"/>
            <w:tcMar>
              <w:top w:w="30" w:type="dxa"/>
              <w:left w:w="30" w:type="dxa"/>
              <w:bottom w:w="30" w:type="dxa"/>
              <w:right w:w="30" w:type="dxa"/>
            </w:tcMar>
          </w:tcPr>
          <w:p w:rsidR="00C118AA" w:rsidRPr="00EA55F4" w:rsidRDefault="00323621" w:rsidP="00EA55F4">
            <w:pPr>
              <w:spacing w:before="40" w:after="40"/>
              <w:jc w:val="center"/>
              <w:rPr>
                <w:color w:val="000000" w:themeColor="text1"/>
              </w:rPr>
            </w:pPr>
            <w:r w:rsidRPr="00EA55F4">
              <w:rPr>
                <w:rFonts w:ascii="Cambria Math" w:hAnsi="Cambria Math"/>
                <w:i/>
                <w:color w:val="000000" w:themeColor="text1"/>
                <w:sz w:val="21"/>
              </w:rPr>
              <w:t>z_log = LayerNorm( W_l * [ (1/L) * sum_{i=1}^L H_tf,i^log  ||  s_t ] + b_l ) in R^D</w:t>
            </w:r>
          </w:p>
        </w:tc>
        <w:tc>
          <w:tcPr>
            <w:tcW w:w="1152" w:type="dxa"/>
            <w:tcMar>
              <w:top w:w="30" w:type="dxa"/>
              <w:left w:w="30" w:type="dxa"/>
              <w:bottom w:w="30" w:type="dxa"/>
              <w:right w:w="30" w:type="dxa"/>
            </w:tcMar>
          </w:tcPr>
          <w:p w:rsidR="00C118AA" w:rsidRPr="00EA55F4" w:rsidRDefault="00323621" w:rsidP="00EA55F4">
            <w:pPr>
              <w:spacing w:before="40" w:after="40"/>
              <w:jc w:val="right"/>
              <w:rPr>
                <w:color w:val="000000" w:themeColor="text1"/>
              </w:rPr>
            </w:pPr>
            <w:r w:rsidRPr="00EA55F4">
              <w:rPr>
                <w:rFonts w:ascii="Times New Roman" w:hAnsi="Times New Roman"/>
                <w:b/>
                <w:color w:val="000000" w:themeColor="text1"/>
                <w:sz w:val="20"/>
              </w:rPr>
              <w:t>(7)</w:t>
            </w:r>
          </w:p>
        </w:tc>
      </w:tr>
    </w:tbl>
    <w:p w:rsidR="00C118AA" w:rsidRPr="00EA55F4" w:rsidRDefault="00C118AA" w:rsidP="00EA55F4">
      <w:pPr>
        <w:spacing w:after="40"/>
        <w:rPr>
          <w:color w:val="000000" w:themeColor="text1"/>
        </w:rPr>
      </w:pPr>
    </w:p>
    <w:p w:rsidR="00C118AA" w:rsidRPr="00EA55F4" w:rsidRDefault="00323621" w:rsidP="00EA55F4">
      <w:pPr>
        <w:keepNext/>
        <w:spacing w:before="140" w:after="40"/>
        <w:rPr>
          <w:color w:val="000000" w:themeColor="text1"/>
        </w:rPr>
      </w:pPr>
      <w:r w:rsidRPr="00EA55F4">
        <w:rPr>
          <w:rFonts w:ascii="Times New Roman" w:hAnsi="Times New Roman"/>
          <w:b/>
          <w:color w:val="000000" w:themeColor="text1"/>
        </w:rPr>
        <w:t>4.3.3 Service Dependency Graph Encoder (GATv2)</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Distributed traces induce dynamic directed caller-callee invocation graphs among the N = 10 services. We implement a pure PyTorch vectorized Graph Attention Network v2 (GATv2) [29], computing dynamic attention scores across caller-callee edges:</w:t>
      </w:r>
    </w:p>
    <w:tbl>
      <w:tblPr>
        <w:tblW w:w="0" w:type="auto"/>
        <w:jc w:val="center"/>
        <w:tblLook w:val="04A0" w:firstRow="1" w:lastRow="0" w:firstColumn="1" w:lastColumn="0" w:noHBand="0" w:noVBand="1"/>
      </w:tblPr>
      <w:tblGrid>
        <w:gridCol w:w="8064"/>
        <w:gridCol w:w="1152"/>
      </w:tblGrid>
      <w:tr w:rsidR="00EA55F4" w:rsidRPr="00EA55F4">
        <w:trPr>
          <w:jc w:val="center"/>
        </w:trPr>
        <w:tc>
          <w:tcPr>
            <w:tcW w:w="8064" w:type="dxa"/>
            <w:tcMar>
              <w:top w:w="30" w:type="dxa"/>
              <w:left w:w="30" w:type="dxa"/>
              <w:bottom w:w="30" w:type="dxa"/>
              <w:right w:w="30" w:type="dxa"/>
            </w:tcMar>
          </w:tcPr>
          <w:p w:rsidR="00C118AA" w:rsidRPr="00EA55F4" w:rsidRDefault="00323621" w:rsidP="00EA55F4">
            <w:pPr>
              <w:spacing w:before="40" w:after="40"/>
              <w:jc w:val="center"/>
              <w:rPr>
                <w:color w:val="000000" w:themeColor="text1"/>
              </w:rPr>
            </w:pPr>
            <w:r w:rsidRPr="00EA55F4">
              <w:rPr>
                <w:rFonts w:ascii="Cambria Math" w:hAnsi="Cambria Math"/>
                <w:i/>
                <w:color w:val="000000" w:themeColor="text1"/>
                <w:sz w:val="21"/>
              </w:rPr>
              <w:t>alpha_i,j = exp( a^T * LeakyReLU( W_src * x_i + W_dst * x_j ) ) / sum_{k in N(i)} exp( a^T * LeakyReLU( W_src * x_i + W_dst * x_k ) )</w:t>
            </w:r>
          </w:p>
        </w:tc>
        <w:tc>
          <w:tcPr>
            <w:tcW w:w="1152" w:type="dxa"/>
            <w:tcMar>
              <w:top w:w="30" w:type="dxa"/>
              <w:left w:w="30" w:type="dxa"/>
              <w:bottom w:w="30" w:type="dxa"/>
              <w:right w:w="30" w:type="dxa"/>
            </w:tcMar>
          </w:tcPr>
          <w:p w:rsidR="00C118AA" w:rsidRPr="00EA55F4" w:rsidRDefault="00323621" w:rsidP="00EA55F4">
            <w:pPr>
              <w:spacing w:before="40" w:after="40"/>
              <w:jc w:val="right"/>
              <w:rPr>
                <w:color w:val="000000" w:themeColor="text1"/>
              </w:rPr>
            </w:pPr>
            <w:r w:rsidRPr="00EA55F4">
              <w:rPr>
                <w:rFonts w:ascii="Times New Roman" w:hAnsi="Times New Roman"/>
                <w:b/>
                <w:color w:val="000000" w:themeColor="text1"/>
                <w:sz w:val="20"/>
              </w:rPr>
              <w:t>(8)</w:t>
            </w:r>
          </w:p>
        </w:tc>
      </w:tr>
    </w:tbl>
    <w:p w:rsidR="00C118AA" w:rsidRPr="00EA55F4" w:rsidRDefault="00C118AA" w:rsidP="00EA55F4">
      <w:pPr>
        <w:spacing w:after="40"/>
        <w:rPr>
          <w:color w:val="000000" w:themeColor="text1"/>
        </w:rPr>
      </w:pP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Across K = 2 attention heads and L_graph = 2 layers with residual connections, this yields service node representations H_nodes in R^(N x D). The graph-level context vector z_graph aggregates node representations and global trace summary statistics u_t in R^4:</w:t>
      </w:r>
    </w:p>
    <w:tbl>
      <w:tblPr>
        <w:tblW w:w="0" w:type="auto"/>
        <w:jc w:val="center"/>
        <w:tblLook w:val="04A0" w:firstRow="1" w:lastRow="0" w:firstColumn="1" w:lastColumn="0" w:noHBand="0" w:noVBand="1"/>
      </w:tblPr>
      <w:tblGrid>
        <w:gridCol w:w="8064"/>
        <w:gridCol w:w="1152"/>
      </w:tblGrid>
      <w:tr w:rsidR="00EA55F4" w:rsidRPr="00EA55F4">
        <w:trPr>
          <w:jc w:val="center"/>
        </w:trPr>
        <w:tc>
          <w:tcPr>
            <w:tcW w:w="8064" w:type="dxa"/>
            <w:tcMar>
              <w:top w:w="30" w:type="dxa"/>
              <w:left w:w="30" w:type="dxa"/>
              <w:bottom w:w="30" w:type="dxa"/>
              <w:right w:w="30" w:type="dxa"/>
            </w:tcMar>
          </w:tcPr>
          <w:p w:rsidR="00C118AA" w:rsidRPr="00EA55F4" w:rsidRDefault="00323621" w:rsidP="00EA55F4">
            <w:pPr>
              <w:spacing w:before="40" w:after="40"/>
              <w:jc w:val="center"/>
              <w:rPr>
                <w:color w:val="000000" w:themeColor="text1"/>
              </w:rPr>
            </w:pPr>
            <w:r w:rsidRPr="00EA55F4">
              <w:rPr>
                <w:rFonts w:ascii="Cambria Math" w:hAnsi="Cambria Math"/>
                <w:i/>
                <w:color w:val="000000" w:themeColor="text1"/>
                <w:sz w:val="21"/>
              </w:rPr>
              <w:t>z_graph = LayerNorm( W_g * [ (1/N) * sum_{i=1}^N h_i^(L_graph)  ||  u_t ] + b_g ) in R^D</w:t>
            </w:r>
          </w:p>
        </w:tc>
        <w:tc>
          <w:tcPr>
            <w:tcW w:w="1152" w:type="dxa"/>
            <w:tcMar>
              <w:top w:w="30" w:type="dxa"/>
              <w:left w:w="30" w:type="dxa"/>
              <w:bottom w:w="30" w:type="dxa"/>
              <w:right w:w="30" w:type="dxa"/>
            </w:tcMar>
          </w:tcPr>
          <w:p w:rsidR="00C118AA" w:rsidRPr="00EA55F4" w:rsidRDefault="00323621" w:rsidP="00EA55F4">
            <w:pPr>
              <w:spacing w:before="40" w:after="40"/>
              <w:jc w:val="right"/>
              <w:rPr>
                <w:color w:val="000000" w:themeColor="text1"/>
              </w:rPr>
            </w:pPr>
            <w:r w:rsidRPr="00EA55F4">
              <w:rPr>
                <w:rFonts w:ascii="Times New Roman" w:hAnsi="Times New Roman"/>
                <w:b/>
                <w:color w:val="000000" w:themeColor="text1"/>
                <w:sz w:val="20"/>
              </w:rPr>
              <w:t>(9)</w:t>
            </w:r>
          </w:p>
        </w:tc>
      </w:tr>
    </w:tbl>
    <w:p w:rsidR="00C118AA" w:rsidRPr="00EA55F4" w:rsidRDefault="00C118AA" w:rsidP="00EA55F4">
      <w:pPr>
        <w:spacing w:after="40"/>
        <w:rPr>
          <w:color w:val="000000" w:themeColor="text1"/>
        </w:rPr>
      </w:pP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t>4.4 Multimodal Cross-Attention Fusion</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Rather than simplistic concatenation or static summation, ORCA treats the three modality representations as tokens in a multimodal sequence:</w:t>
      </w:r>
    </w:p>
    <w:tbl>
      <w:tblPr>
        <w:tblW w:w="0" w:type="auto"/>
        <w:jc w:val="center"/>
        <w:tblLook w:val="04A0" w:firstRow="1" w:lastRow="0" w:firstColumn="1" w:lastColumn="0" w:noHBand="0" w:noVBand="1"/>
      </w:tblPr>
      <w:tblGrid>
        <w:gridCol w:w="8064"/>
        <w:gridCol w:w="1152"/>
      </w:tblGrid>
      <w:tr w:rsidR="00EA55F4" w:rsidRPr="00EA55F4">
        <w:trPr>
          <w:jc w:val="center"/>
        </w:trPr>
        <w:tc>
          <w:tcPr>
            <w:tcW w:w="8064" w:type="dxa"/>
            <w:tcMar>
              <w:top w:w="30" w:type="dxa"/>
              <w:left w:w="30" w:type="dxa"/>
              <w:bottom w:w="30" w:type="dxa"/>
              <w:right w:w="30" w:type="dxa"/>
            </w:tcMar>
          </w:tcPr>
          <w:p w:rsidR="00C118AA" w:rsidRPr="00EA55F4" w:rsidRDefault="00323621" w:rsidP="00EA55F4">
            <w:pPr>
              <w:spacing w:before="40" w:after="40"/>
              <w:jc w:val="center"/>
              <w:rPr>
                <w:color w:val="000000" w:themeColor="text1"/>
              </w:rPr>
            </w:pPr>
            <w:r w:rsidRPr="00EA55F4">
              <w:rPr>
                <w:rFonts w:ascii="Cambria Math" w:hAnsi="Cambria Math"/>
                <w:i/>
                <w:color w:val="000000" w:themeColor="text1"/>
                <w:sz w:val="21"/>
              </w:rPr>
              <w:t>Z_modalities = [ z_metric;  z_log;  z_graph ] in R^(3 x D)</w:t>
            </w:r>
          </w:p>
        </w:tc>
        <w:tc>
          <w:tcPr>
            <w:tcW w:w="1152" w:type="dxa"/>
            <w:tcMar>
              <w:top w:w="30" w:type="dxa"/>
              <w:left w:w="30" w:type="dxa"/>
              <w:bottom w:w="30" w:type="dxa"/>
              <w:right w:w="30" w:type="dxa"/>
            </w:tcMar>
          </w:tcPr>
          <w:p w:rsidR="00C118AA" w:rsidRPr="00EA55F4" w:rsidRDefault="00323621" w:rsidP="00EA55F4">
            <w:pPr>
              <w:spacing w:before="40" w:after="40"/>
              <w:jc w:val="right"/>
              <w:rPr>
                <w:color w:val="000000" w:themeColor="text1"/>
              </w:rPr>
            </w:pPr>
            <w:r w:rsidRPr="00EA55F4">
              <w:rPr>
                <w:rFonts w:ascii="Times New Roman" w:hAnsi="Times New Roman"/>
                <w:b/>
                <w:color w:val="000000" w:themeColor="text1"/>
                <w:sz w:val="20"/>
              </w:rPr>
              <w:t>(10)</w:t>
            </w:r>
          </w:p>
        </w:tc>
      </w:tr>
    </w:tbl>
    <w:p w:rsidR="00C118AA" w:rsidRPr="00EA55F4" w:rsidRDefault="00C118AA" w:rsidP="00EA55F4">
      <w:pPr>
        <w:spacing w:after="40"/>
        <w:rPr>
          <w:color w:val="000000" w:themeColor="text1"/>
        </w:rPr>
      </w:pP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We compute cross-attention across all modality pairs using Multi-Head Attention:</w:t>
      </w:r>
    </w:p>
    <w:tbl>
      <w:tblPr>
        <w:tblW w:w="0" w:type="auto"/>
        <w:jc w:val="center"/>
        <w:tblLook w:val="04A0" w:firstRow="1" w:lastRow="0" w:firstColumn="1" w:lastColumn="0" w:noHBand="0" w:noVBand="1"/>
      </w:tblPr>
      <w:tblGrid>
        <w:gridCol w:w="8064"/>
        <w:gridCol w:w="1152"/>
      </w:tblGrid>
      <w:tr w:rsidR="00EA55F4" w:rsidRPr="00EA55F4">
        <w:trPr>
          <w:jc w:val="center"/>
        </w:trPr>
        <w:tc>
          <w:tcPr>
            <w:tcW w:w="8064" w:type="dxa"/>
            <w:tcMar>
              <w:top w:w="30" w:type="dxa"/>
              <w:left w:w="30" w:type="dxa"/>
              <w:bottom w:w="30" w:type="dxa"/>
              <w:right w:w="30" w:type="dxa"/>
            </w:tcMar>
          </w:tcPr>
          <w:p w:rsidR="00C118AA" w:rsidRPr="00EA55F4" w:rsidRDefault="00323621" w:rsidP="00EA55F4">
            <w:pPr>
              <w:spacing w:before="40" w:after="40"/>
              <w:jc w:val="center"/>
              <w:rPr>
                <w:color w:val="000000" w:themeColor="text1"/>
              </w:rPr>
            </w:pPr>
            <w:r w:rsidRPr="00EA55F4">
              <w:rPr>
                <w:rFonts w:ascii="Cambria Math" w:hAnsi="Cambria Math"/>
                <w:i/>
                <w:color w:val="000000" w:themeColor="text1"/>
                <w:sz w:val="21"/>
              </w:rPr>
              <w:t>A_cross = MultiHeadAttention( Q = Z_modalities, K = Z_modalities, V = Z_modalities )</w:t>
            </w:r>
          </w:p>
        </w:tc>
        <w:tc>
          <w:tcPr>
            <w:tcW w:w="1152" w:type="dxa"/>
            <w:tcMar>
              <w:top w:w="30" w:type="dxa"/>
              <w:left w:w="30" w:type="dxa"/>
              <w:bottom w:w="30" w:type="dxa"/>
              <w:right w:w="30" w:type="dxa"/>
            </w:tcMar>
          </w:tcPr>
          <w:p w:rsidR="00C118AA" w:rsidRPr="00EA55F4" w:rsidRDefault="00323621" w:rsidP="00EA55F4">
            <w:pPr>
              <w:spacing w:before="40" w:after="40"/>
              <w:jc w:val="right"/>
              <w:rPr>
                <w:color w:val="000000" w:themeColor="text1"/>
              </w:rPr>
            </w:pPr>
            <w:r w:rsidRPr="00EA55F4">
              <w:rPr>
                <w:rFonts w:ascii="Times New Roman" w:hAnsi="Times New Roman"/>
                <w:b/>
                <w:color w:val="000000" w:themeColor="text1"/>
                <w:sz w:val="20"/>
              </w:rPr>
              <w:t>(11)</w:t>
            </w:r>
          </w:p>
        </w:tc>
      </w:tr>
    </w:tbl>
    <w:p w:rsidR="00C118AA" w:rsidRPr="00EA55F4" w:rsidRDefault="00C118AA" w:rsidP="00EA55F4">
      <w:pPr>
        <w:spacing w:after="40"/>
        <w:rPr>
          <w:color w:val="000000" w:themeColor="text1"/>
        </w:rPr>
      </w:pP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Following residual summation, layer normalization, and multi-layer perceptron compression, we obtain the unified incident representation:</w:t>
      </w:r>
    </w:p>
    <w:tbl>
      <w:tblPr>
        <w:tblW w:w="0" w:type="auto"/>
        <w:jc w:val="center"/>
        <w:tblLook w:val="04A0" w:firstRow="1" w:lastRow="0" w:firstColumn="1" w:lastColumn="0" w:noHBand="0" w:noVBand="1"/>
      </w:tblPr>
      <w:tblGrid>
        <w:gridCol w:w="8064"/>
        <w:gridCol w:w="1152"/>
      </w:tblGrid>
      <w:tr w:rsidR="00EA55F4" w:rsidRPr="00EA55F4">
        <w:trPr>
          <w:jc w:val="center"/>
        </w:trPr>
        <w:tc>
          <w:tcPr>
            <w:tcW w:w="8064" w:type="dxa"/>
            <w:tcMar>
              <w:top w:w="30" w:type="dxa"/>
              <w:left w:w="30" w:type="dxa"/>
              <w:bottom w:w="30" w:type="dxa"/>
              <w:right w:w="30" w:type="dxa"/>
            </w:tcMar>
          </w:tcPr>
          <w:p w:rsidR="00C118AA" w:rsidRPr="00EA55F4" w:rsidRDefault="00323621" w:rsidP="00EA55F4">
            <w:pPr>
              <w:spacing w:before="40" w:after="40"/>
              <w:jc w:val="center"/>
              <w:rPr>
                <w:color w:val="000000" w:themeColor="text1"/>
              </w:rPr>
            </w:pPr>
            <w:r w:rsidRPr="00EA55F4">
              <w:rPr>
                <w:rFonts w:ascii="Cambria Math" w:hAnsi="Cambria Math"/>
                <w:i/>
                <w:color w:val="000000" w:themeColor="text1"/>
                <w:sz w:val="21"/>
              </w:rPr>
              <w:t>z_fused = GELU( W_f * vec( LayerNorm( Z_modalities + A_cross ) ) + b_f ) in R^D</w:t>
            </w:r>
          </w:p>
        </w:tc>
        <w:tc>
          <w:tcPr>
            <w:tcW w:w="1152" w:type="dxa"/>
            <w:tcMar>
              <w:top w:w="30" w:type="dxa"/>
              <w:left w:w="30" w:type="dxa"/>
              <w:bottom w:w="30" w:type="dxa"/>
              <w:right w:w="30" w:type="dxa"/>
            </w:tcMar>
          </w:tcPr>
          <w:p w:rsidR="00C118AA" w:rsidRPr="00EA55F4" w:rsidRDefault="00323621" w:rsidP="00EA55F4">
            <w:pPr>
              <w:spacing w:before="40" w:after="40"/>
              <w:jc w:val="right"/>
              <w:rPr>
                <w:color w:val="000000" w:themeColor="text1"/>
              </w:rPr>
            </w:pPr>
            <w:r w:rsidRPr="00EA55F4">
              <w:rPr>
                <w:rFonts w:ascii="Times New Roman" w:hAnsi="Times New Roman"/>
                <w:b/>
                <w:color w:val="000000" w:themeColor="text1"/>
                <w:sz w:val="20"/>
              </w:rPr>
              <w:t>(12)</w:t>
            </w:r>
          </w:p>
        </w:tc>
      </w:tr>
    </w:tbl>
    <w:p w:rsidR="00C118AA" w:rsidRPr="00EA55F4" w:rsidRDefault="00C118AA" w:rsidP="00EA55F4">
      <w:pPr>
        <w:spacing w:after="40"/>
        <w:rPr>
          <w:color w:val="000000" w:themeColor="text1"/>
        </w:rPr>
      </w:pP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t>4.5 Multi-Task Decision Heads &amp; Anomaly Masking</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ORCA simultaneously optimizes three operational decision heads:</w:t>
      </w:r>
      <w:r w:rsidRPr="00EA55F4">
        <w:rPr>
          <w:rFonts w:ascii="Times New Roman" w:hAnsi="Times New Roman"/>
          <w:color w:val="000000" w:themeColor="text1"/>
        </w:rPr>
        <w:br/>
        <w:t xml:space="preserve">1. </w:t>
      </w:r>
      <w:r w:rsidRPr="00EA55F4">
        <w:rPr>
          <w:rFonts w:ascii="Times New Roman" w:hAnsi="Times New Roman"/>
          <w:b/>
          <w:color w:val="000000" w:themeColor="text1"/>
        </w:rPr>
        <w:t>Anomaly Detection Head:</w:t>
      </w:r>
      <w:r w:rsidRPr="00EA55F4">
        <w:rPr>
          <w:rFonts w:ascii="Times New Roman" w:hAnsi="Times New Roman"/>
          <w:color w:val="000000" w:themeColor="text1"/>
        </w:rPr>
        <w:t xml:space="preserve"> A 2-layer MLP predicting binary anomaly probabilities:</w:t>
      </w:r>
      <w:r w:rsidRPr="00EA55F4">
        <w:rPr>
          <w:rFonts w:ascii="Times New Roman" w:hAnsi="Times New Roman"/>
          <w:color w:val="000000" w:themeColor="text1"/>
        </w:rPr>
        <w:br/>
        <w:t xml:space="preserve">   p_hat_anom = softmax( W_a2 * GELU( W_a1 * z_fused + b_a1 ) + b_a2 ) in [0, 1]^2.</w:t>
      </w:r>
      <w:r w:rsidRPr="00EA55F4">
        <w:rPr>
          <w:rFonts w:ascii="Times New Roman" w:hAnsi="Times New Roman"/>
          <w:color w:val="000000" w:themeColor="text1"/>
        </w:rPr>
        <w:br/>
        <w:t xml:space="preserve">2. </w:t>
      </w:r>
      <w:r w:rsidRPr="00EA55F4">
        <w:rPr>
          <w:rFonts w:ascii="Times New Roman" w:hAnsi="Times New Roman"/>
          <w:b/>
          <w:color w:val="000000" w:themeColor="text1"/>
        </w:rPr>
        <w:t>Graph-Conditioned Root-Cause Localization Head:</w:t>
      </w:r>
      <w:r w:rsidRPr="00EA55F4">
        <w:rPr>
          <w:rFonts w:ascii="Times New Roman" w:hAnsi="Times New Roman"/>
          <w:color w:val="000000" w:themeColor="text1"/>
        </w:rPr>
        <w:t xml:space="preserve"> Conditions each service node representation h_i on the fused incident context:</w:t>
      </w:r>
      <w:r w:rsidRPr="00EA55F4">
        <w:rPr>
          <w:rFonts w:ascii="Times New Roman" w:hAnsi="Times New Roman"/>
          <w:color w:val="000000" w:themeColor="text1"/>
        </w:rPr>
        <w:br/>
        <w:t xml:space="preserve">   r_i = [ h_i || z_fused ] in R^(2D);  s_i = W_r2 * GELU( W_r1 * r_i + b_r1 ) + b_r2;  p_hat_rc = </w:t>
      </w:r>
      <w:r w:rsidRPr="00EA55F4">
        <w:rPr>
          <w:rFonts w:ascii="Times New Roman" w:hAnsi="Times New Roman"/>
          <w:color w:val="000000" w:themeColor="text1"/>
        </w:rPr>
        <w:lastRenderedPageBreak/>
        <w:t>softmax([s_1, ..., s_N]^T) in [0, 1]^N.</w:t>
      </w:r>
      <w:r w:rsidRPr="00EA55F4">
        <w:rPr>
          <w:rFonts w:ascii="Times New Roman" w:hAnsi="Times New Roman"/>
          <w:color w:val="000000" w:themeColor="text1"/>
        </w:rPr>
        <w:br/>
        <w:t xml:space="preserve">3. </w:t>
      </w:r>
      <w:r w:rsidRPr="00EA55F4">
        <w:rPr>
          <w:rFonts w:ascii="Times New Roman" w:hAnsi="Times New Roman"/>
          <w:b/>
          <w:color w:val="000000" w:themeColor="text1"/>
        </w:rPr>
        <w:t>Incident Severity Head:</w:t>
      </w:r>
      <w:r w:rsidRPr="00EA55F4">
        <w:rPr>
          <w:rFonts w:ascii="Times New Roman" w:hAnsi="Times New Roman"/>
          <w:color w:val="000000" w:themeColor="text1"/>
        </w:rPr>
        <w:t xml:space="preserve"> Predicts operational severity (LOW, MEDIUM, HIGH, CRITICAL): p_hat_sev in [0, 1]^4.</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 xml:space="preserve">Computing root-cause localization loss on normal windows introduces corrupt gradients because healthy systems possess no true root cause. Therefore, we introduce an </w:t>
      </w:r>
      <w:r w:rsidRPr="00EA55F4">
        <w:rPr>
          <w:rFonts w:ascii="Times New Roman" w:hAnsi="Times New Roman"/>
          <w:b/>
          <w:color w:val="000000" w:themeColor="text1"/>
        </w:rPr>
        <w:t>anomaly indicator mask</w:t>
      </w:r>
      <w:r w:rsidRPr="00EA55F4">
        <w:rPr>
          <w:rFonts w:ascii="Times New Roman" w:hAnsi="Times New Roman"/>
          <w:color w:val="000000" w:themeColor="text1"/>
        </w:rPr>
        <w:t xml:space="preserve"> I(y_anom = 1) in the joint multi-task objective:</w:t>
      </w:r>
    </w:p>
    <w:tbl>
      <w:tblPr>
        <w:tblW w:w="0" w:type="auto"/>
        <w:jc w:val="center"/>
        <w:tblLook w:val="04A0" w:firstRow="1" w:lastRow="0" w:firstColumn="1" w:lastColumn="0" w:noHBand="0" w:noVBand="1"/>
      </w:tblPr>
      <w:tblGrid>
        <w:gridCol w:w="8064"/>
        <w:gridCol w:w="1152"/>
      </w:tblGrid>
      <w:tr w:rsidR="00EA55F4" w:rsidRPr="00EA55F4">
        <w:trPr>
          <w:jc w:val="center"/>
        </w:trPr>
        <w:tc>
          <w:tcPr>
            <w:tcW w:w="8064" w:type="dxa"/>
            <w:tcMar>
              <w:top w:w="30" w:type="dxa"/>
              <w:left w:w="30" w:type="dxa"/>
              <w:bottom w:w="30" w:type="dxa"/>
              <w:right w:w="30" w:type="dxa"/>
            </w:tcMar>
          </w:tcPr>
          <w:p w:rsidR="00C118AA" w:rsidRPr="00EA55F4" w:rsidRDefault="00323621" w:rsidP="00EA55F4">
            <w:pPr>
              <w:spacing w:before="40" w:after="40"/>
              <w:jc w:val="center"/>
              <w:rPr>
                <w:color w:val="000000" w:themeColor="text1"/>
              </w:rPr>
            </w:pPr>
            <w:r w:rsidRPr="00EA55F4">
              <w:rPr>
                <w:rFonts w:ascii="Cambria Math" w:hAnsi="Cambria Math"/>
                <w:i/>
                <w:color w:val="000000" w:themeColor="text1"/>
                <w:sz w:val="21"/>
              </w:rPr>
              <w:t>L_total = lambda_anom * L_BCE(y_anom, p_hat_anom) + lambda_rc * I(y_anom == 1) * L_CE(y_rc, p_hat_rc) + lambda_sev * L_CE(y_sev, p_hat_sev)</w:t>
            </w:r>
          </w:p>
        </w:tc>
        <w:tc>
          <w:tcPr>
            <w:tcW w:w="1152" w:type="dxa"/>
            <w:tcMar>
              <w:top w:w="30" w:type="dxa"/>
              <w:left w:w="30" w:type="dxa"/>
              <w:bottom w:w="30" w:type="dxa"/>
              <w:right w:w="30" w:type="dxa"/>
            </w:tcMar>
          </w:tcPr>
          <w:p w:rsidR="00C118AA" w:rsidRPr="00EA55F4" w:rsidRDefault="00323621" w:rsidP="00EA55F4">
            <w:pPr>
              <w:spacing w:before="40" w:after="40"/>
              <w:jc w:val="right"/>
              <w:rPr>
                <w:color w:val="000000" w:themeColor="text1"/>
              </w:rPr>
            </w:pPr>
            <w:r w:rsidRPr="00EA55F4">
              <w:rPr>
                <w:rFonts w:ascii="Times New Roman" w:hAnsi="Times New Roman"/>
                <w:b/>
                <w:color w:val="000000" w:themeColor="text1"/>
                <w:sz w:val="20"/>
              </w:rPr>
              <w:t>(13)</w:t>
            </w:r>
          </w:p>
        </w:tc>
      </w:tr>
    </w:tbl>
    <w:p w:rsidR="00C118AA" w:rsidRPr="00EA55F4" w:rsidRDefault="00C118AA" w:rsidP="00EA55F4">
      <w:pPr>
        <w:spacing w:after="40"/>
        <w:rPr>
          <w:color w:val="000000" w:themeColor="text1"/>
        </w:rPr>
      </w:pP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where lambda_anom = 1.0, lambda_rc = 1.164, and lambda_sev = 0.5 were established via Bayesian optimization.</w:t>
      </w: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t>4.6 Post-Hoc Temperature Calibration</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To prevent miscalibrated overconfidence in mission-critical SRE deployments, we apply post-hoc Temperature Scaling [31]. A scalar parameter T &gt; 0 is optimized on the validation set by minimizing Negative Log-Likelihood (NLL) while freezing all network weights:</w:t>
      </w:r>
    </w:p>
    <w:tbl>
      <w:tblPr>
        <w:tblW w:w="0" w:type="auto"/>
        <w:jc w:val="center"/>
        <w:tblLook w:val="04A0" w:firstRow="1" w:lastRow="0" w:firstColumn="1" w:lastColumn="0" w:noHBand="0" w:noVBand="1"/>
      </w:tblPr>
      <w:tblGrid>
        <w:gridCol w:w="8064"/>
        <w:gridCol w:w="1152"/>
      </w:tblGrid>
      <w:tr w:rsidR="00EA55F4" w:rsidRPr="00EA55F4">
        <w:trPr>
          <w:jc w:val="center"/>
        </w:trPr>
        <w:tc>
          <w:tcPr>
            <w:tcW w:w="8064" w:type="dxa"/>
            <w:tcMar>
              <w:top w:w="30" w:type="dxa"/>
              <w:left w:w="30" w:type="dxa"/>
              <w:bottom w:w="30" w:type="dxa"/>
              <w:right w:w="30" w:type="dxa"/>
            </w:tcMar>
          </w:tcPr>
          <w:p w:rsidR="00C118AA" w:rsidRPr="00EA55F4" w:rsidRDefault="00323621" w:rsidP="00EA55F4">
            <w:pPr>
              <w:spacing w:before="40" w:after="40"/>
              <w:jc w:val="center"/>
              <w:rPr>
                <w:color w:val="000000" w:themeColor="text1"/>
              </w:rPr>
            </w:pPr>
            <w:r w:rsidRPr="00EA55F4">
              <w:rPr>
                <w:rFonts w:ascii="Cambria Math" w:hAnsi="Cambria Math"/>
                <w:i/>
                <w:color w:val="000000" w:themeColor="text1"/>
                <w:sz w:val="21"/>
              </w:rPr>
              <w:t>T* = argmin_T  - sum_{k=1}^{N_val} log( exp(s_k,y_k / T) / sum_{j=1}^N exp(s_k,j / T) )</w:t>
            </w:r>
          </w:p>
        </w:tc>
        <w:tc>
          <w:tcPr>
            <w:tcW w:w="1152" w:type="dxa"/>
            <w:tcMar>
              <w:top w:w="30" w:type="dxa"/>
              <w:left w:w="30" w:type="dxa"/>
              <w:bottom w:w="30" w:type="dxa"/>
              <w:right w:w="30" w:type="dxa"/>
            </w:tcMar>
          </w:tcPr>
          <w:p w:rsidR="00C118AA" w:rsidRPr="00EA55F4" w:rsidRDefault="00323621" w:rsidP="00EA55F4">
            <w:pPr>
              <w:spacing w:before="40" w:after="40"/>
              <w:jc w:val="right"/>
              <w:rPr>
                <w:color w:val="000000" w:themeColor="text1"/>
              </w:rPr>
            </w:pPr>
            <w:r w:rsidRPr="00EA55F4">
              <w:rPr>
                <w:rFonts w:ascii="Times New Roman" w:hAnsi="Times New Roman"/>
                <w:b/>
                <w:color w:val="000000" w:themeColor="text1"/>
                <w:sz w:val="20"/>
              </w:rPr>
              <w:t>(14)</w:t>
            </w:r>
          </w:p>
        </w:tc>
      </w:tr>
    </w:tbl>
    <w:p w:rsidR="00C118AA" w:rsidRPr="00EA55F4" w:rsidRDefault="00C118AA" w:rsidP="00EA55F4">
      <w:pPr>
        <w:spacing w:after="40"/>
        <w:rPr>
          <w:color w:val="000000" w:themeColor="text1"/>
        </w:rPr>
      </w:pP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Optimal calibration yielded T* = 0.8057, substantially reducing Expected Calibration Error (ECE) on the test split.</w:t>
      </w:r>
    </w:p>
    <w:p w:rsidR="00C118AA" w:rsidRPr="00EA55F4" w:rsidRDefault="00323621" w:rsidP="00EA55F4">
      <w:pPr>
        <w:keepNext/>
        <w:spacing w:before="280" w:after="60"/>
        <w:rPr>
          <w:color w:val="000000" w:themeColor="text1"/>
        </w:rPr>
      </w:pPr>
      <w:r w:rsidRPr="00EA55F4">
        <w:rPr>
          <w:rFonts w:ascii="Times New Roman" w:hAnsi="Times New Roman"/>
          <w:b/>
          <w:color w:val="000000" w:themeColor="text1"/>
          <w:sz w:val="25"/>
        </w:rPr>
        <w:t>5. IMPLEMENTATION &amp; EXPERIMENTS</w:t>
      </w: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t>5.1 Experimental Setup and Computational Environment</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Table II details the complete hardware and software environment utilized throughout all experiments. To ensure 100% computational reproducibility across standard industrial workstations, ORCA incorporates a CPU execution fallback that circumvents Windows-specific CUDA DLL allocation bottlenecks in Python 3.13.</w:t>
      </w:r>
    </w:p>
    <w:p w:rsidR="00C118AA" w:rsidRPr="00EA55F4" w:rsidRDefault="00323621" w:rsidP="00EA55F4">
      <w:pPr>
        <w:keepNext/>
        <w:spacing w:before="200" w:after="60"/>
        <w:jc w:val="center"/>
        <w:rPr>
          <w:color w:val="000000" w:themeColor="text1"/>
        </w:rPr>
      </w:pPr>
      <w:r w:rsidRPr="00EA55F4">
        <w:rPr>
          <w:rFonts w:ascii="Times New Roman" w:hAnsi="Times New Roman"/>
          <w:b/>
          <w:color w:val="000000" w:themeColor="text1"/>
          <w:sz w:val="20"/>
        </w:rPr>
        <w:t>TABLE II: COMPUTATIONAL SPECIFICATIONS AND RUNTIME ENVIRONMENT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3456"/>
        <w:gridCol w:w="3456"/>
      </w:tblGrid>
      <w:tr w:rsidR="00EA55F4" w:rsidRPr="00EA55F4">
        <w:trPr>
          <w:jc w:val="center"/>
        </w:trPr>
        <w:tc>
          <w:tcPr>
            <w:tcW w:w="2880" w:type="dxa"/>
            <w:shd w:val="clear" w:color="auto" w:fill="E6E6E6"/>
            <w:tcMar>
              <w:top w:w="100" w:type="dxa"/>
              <w:left w:w="120" w:type="dxa"/>
              <w:bottom w:w="100" w:type="dxa"/>
              <w:right w:w="120" w:type="dxa"/>
            </w:tcMar>
          </w:tcPr>
          <w:p w:rsidR="00C118AA" w:rsidRPr="00EA55F4" w:rsidRDefault="00323621" w:rsidP="00EA55F4">
            <w:pPr>
              <w:spacing w:before="40" w:after="40"/>
              <w:jc w:val="center"/>
              <w:rPr>
                <w:color w:val="000000" w:themeColor="text1"/>
              </w:rPr>
            </w:pPr>
            <w:r w:rsidRPr="00EA55F4">
              <w:rPr>
                <w:rFonts w:ascii="Times New Roman" w:hAnsi="Times New Roman"/>
                <w:b/>
                <w:color w:val="000000" w:themeColor="text1"/>
                <w:sz w:val="19"/>
              </w:rPr>
              <w:t>Environment Parameter</w:t>
            </w:r>
          </w:p>
        </w:tc>
        <w:tc>
          <w:tcPr>
            <w:tcW w:w="3456" w:type="dxa"/>
            <w:shd w:val="clear" w:color="auto" w:fill="E6E6E6"/>
            <w:tcMar>
              <w:top w:w="100" w:type="dxa"/>
              <w:left w:w="120" w:type="dxa"/>
              <w:bottom w:w="100" w:type="dxa"/>
              <w:right w:w="120" w:type="dxa"/>
            </w:tcMar>
          </w:tcPr>
          <w:p w:rsidR="00C118AA" w:rsidRPr="00EA55F4" w:rsidRDefault="00323621" w:rsidP="00EA55F4">
            <w:pPr>
              <w:spacing w:before="40" w:after="40"/>
              <w:jc w:val="center"/>
              <w:rPr>
                <w:color w:val="000000" w:themeColor="text1"/>
              </w:rPr>
            </w:pPr>
            <w:r w:rsidRPr="00EA55F4">
              <w:rPr>
                <w:rFonts w:ascii="Times New Roman" w:hAnsi="Times New Roman"/>
                <w:b/>
                <w:color w:val="000000" w:themeColor="text1"/>
                <w:sz w:val="19"/>
              </w:rPr>
              <w:t>Specification / Software Version</w:t>
            </w:r>
          </w:p>
        </w:tc>
        <w:tc>
          <w:tcPr>
            <w:tcW w:w="3456" w:type="dxa"/>
            <w:shd w:val="clear" w:color="auto" w:fill="E6E6E6"/>
            <w:tcMar>
              <w:top w:w="100" w:type="dxa"/>
              <w:left w:w="120" w:type="dxa"/>
              <w:bottom w:w="100" w:type="dxa"/>
              <w:right w:w="120" w:type="dxa"/>
            </w:tcMar>
          </w:tcPr>
          <w:p w:rsidR="00C118AA" w:rsidRPr="00EA55F4" w:rsidRDefault="00323621" w:rsidP="00EA55F4">
            <w:pPr>
              <w:spacing w:before="40" w:after="40"/>
              <w:jc w:val="center"/>
              <w:rPr>
                <w:color w:val="000000" w:themeColor="text1"/>
              </w:rPr>
            </w:pPr>
            <w:r w:rsidRPr="00EA55F4">
              <w:rPr>
                <w:rFonts w:ascii="Times New Roman" w:hAnsi="Times New Roman"/>
                <w:b/>
                <w:color w:val="000000" w:themeColor="text1"/>
                <w:sz w:val="19"/>
              </w:rPr>
              <w:t>Role in Research Pipeline</w:t>
            </w:r>
          </w:p>
        </w:tc>
      </w:tr>
      <w:tr w:rsidR="00EA55F4" w:rsidRPr="00EA55F4">
        <w:trPr>
          <w:jc w:val="center"/>
        </w:trPr>
        <w:tc>
          <w:tcPr>
            <w:tcW w:w="2880" w:type="dxa"/>
            <w:shd w:val="clear" w:color="auto" w:fill="FFFFFF"/>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Operating System</w:t>
            </w:r>
          </w:p>
        </w:tc>
        <w:tc>
          <w:tcPr>
            <w:tcW w:w="3456"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Microsoft Windows 11 Enterprise (x86_64, Kernel 10.0.26100)</w:t>
            </w:r>
          </w:p>
        </w:tc>
        <w:tc>
          <w:tcPr>
            <w:tcW w:w="3456"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Host execution platform</w:t>
            </w:r>
          </w:p>
        </w:tc>
      </w:tr>
      <w:tr w:rsidR="00EA55F4" w:rsidRPr="00EA55F4">
        <w:trPr>
          <w:jc w:val="center"/>
        </w:trPr>
        <w:tc>
          <w:tcPr>
            <w:tcW w:w="2880" w:type="dxa"/>
            <w:shd w:val="clear" w:color="auto" w:fill="F9F9F9"/>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CPU Architecture</w:t>
            </w:r>
          </w:p>
        </w:tc>
        <w:tc>
          <w:tcPr>
            <w:tcW w:w="3456"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Intel Core i7 / AMD Ryzen Multi-Core SMP, AVX2 Enabled</w:t>
            </w:r>
          </w:p>
        </w:tc>
        <w:tc>
          <w:tcPr>
            <w:tcW w:w="3456"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Compute engine for tensor inference &amp; training</w:t>
            </w:r>
          </w:p>
        </w:tc>
      </w:tr>
      <w:tr w:rsidR="00EA55F4" w:rsidRPr="00EA55F4">
        <w:trPr>
          <w:jc w:val="center"/>
        </w:trPr>
        <w:tc>
          <w:tcPr>
            <w:tcW w:w="2880" w:type="dxa"/>
            <w:shd w:val="clear" w:color="auto" w:fill="FFFFFF"/>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Physical Memory</w:t>
            </w:r>
          </w:p>
        </w:tc>
        <w:tc>
          <w:tcPr>
            <w:tcW w:w="3456"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16 GB DDR4 RAM</w:t>
            </w:r>
          </w:p>
        </w:tc>
        <w:tc>
          <w:tcPr>
            <w:tcW w:w="3456"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Telemetry batch memory allocation</w:t>
            </w:r>
          </w:p>
        </w:tc>
      </w:tr>
      <w:tr w:rsidR="00EA55F4" w:rsidRPr="00EA55F4">
        <w:trPr>
          <w:jc w:val="center"/>
        </w:trPr>
        <w:tc>
          <w:tcPr>
            <w:tcW w:w="2880" w:type="dxa"/>
            <w:shd w:val="clear" w:color="auto" w:fill="F9F9F9"/>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Programming Runtime</w:t>
            </w:r>
          </w:p>
        </w:tc>
        <w:tc>
          <w:tcPr>
            <w:tcW w:w="3456"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Python 3.13.1 (64-bit runtime)</w:t>
            </w:r>
          </w:p>
        </w:tc>
        <w:tc>
          <w:tcPr>
            <w:tcW w:w="3456"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Core scripting and modeling execution</w:t>
            </w:r>
          </w:p>
        </w:tc>
      </w:tr>
      <w:tr w:rsidR="00EA55F4" w:rsidRPr="00EA55F4">
        <w:trPr>
          <w:jc w:val="center"/>
        </w:trPr>
        <w:tc>
          <w:tcPr>
            <w:tcW w:w="2880" w:type="dxa"/>
            <w:shd w:val="clear" w:color="auto" w:fill="FFFFFF"/>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Deep Learning Engine</w:t>
            </w:r>
          </w:p>
        </w:tc>
        <w:tc>
          <w:tcPr>
            <w:tcW w:w="3456"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PyTorch 2.2.0 (Vectorized CPU backend)</w:t>
            </w:r>
          </w:p>
        </w:tc>
        <w:tc>
          <w:tcPr>
            <w:tcW w:w="3456"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Neural network layers, autograd, and loss engines</w:t>
            </w:r>
          </w:p>
        </w:tc>
      </w:tr>
      <w:tr w:rsidR="00EA55F4" w:rsidRPr="00EA55F4">
        <w:trPr>
          <w:jc w:val="center"/>
        </w:trPr>
        <w:tc>
          <w:tcPr>
            <w:tcW w:w="2880" w:type="dxa"/>
            <w:shd w:val="clear" w:color="auto" w:fill="F9F9F9"/>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Machine Learning Suite</w:t>
            </w:r>
          </w:p>
        </w:tc>
        <w:tc>
          <w:tcPr>
            <w:tcW w:w="3456"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scikit-learn 1.4.1, XGBoost 2.0.3, Optuna 3.6.0</w:t>
            </w:r>
          </w:p>
        </w:tc>
        <w:tc>
          <w:tcPr>
            <w:tcW w:w="3456"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Baseline models, preprocessing, and Bayesian tuning</w:t>
            </w:r>
          </w:p>
        </w:tc>
      </w:tr>
      <w:tr w:rsidR="00EA55F4" w:rsidRPr="00EA55F4">
        <w:trPr>
          <w:jc w:val="center"/>
        </w:trPr>
        <w:tc>
          <w:tcPr>
            <w:tcW w:w="2880" w:type="dxa"/>
            <w:shd w:val="clear" w:color="auto" w:fill="FFFFFF"/>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Explainability &amp; Manifold</w:t>
            </w:r>
          </w:p>
        </w:tc>
        <w:tc>
          <w:tcPr>
            <w:tcW w:w="3456"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SHAP 0.45.0, UMAP-learn 0.5.5, PCA</w:t>
            </w:r>
          </w:p>
        </w:tc>
        <w:tc>
          <w:tcPr>
            <w:tcW w:w="3456"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Feature importance and embedding geometry</w:t>
            </w:r>
          </w:p>
        </w:tc>
      </w:tr>
      <w:tr w:rsidR="00EA55F4" w:rsidRPr="00EA55F4">
        <w:trPr>
          <w:jc w:val="center"/>
        </w:trPr>
        <w:tc>
          <w:tcPr>
            <w:tcW w:w="2880" w:type="dxa"/>
            <w:shd w:val="clear" w:color="auto" w:fill="F9F9F9"/>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lastRenderedPageBreak/>
              <w:t>Serving &amp; User Interface</w:t>
            </w:r>
          </w:p>
        </w:tc>
        <w:tc>
          <w:tcPr>
            <w:tcW w:w="3456"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FastAPI 0.110.0, Streamlit 1.32.2, Docker 26.0</w:t>
            </w:r>
          </w:p>
        </w:tc>
        <w:tc>
          <w:tcPr>
            <w:tcW w:w="3456"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Microservice inference API and SRE dashboard</w:t>
            </w:r>
          </w:p>
        </w:tc>
      </w:tr>
    </w:tbl>
    <w:p w:rsidR="00C118AA" w:rsidRPr="00EA55F4" w:rsidRDefault="00C118AA" w:rsidP="00EA55F4">
      <w:pPr>
        <w:spacing w:after="120"/>
        <w:rPr>
          <w:color w:val="000000" w:themeColor="text1"/>
        </w:rPr>
      </w:pP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t>5.2 Benchmark Dataset &amp; Zero-Leakage Experimental Split</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 xml:space="preserve">All experiments were conducted using the standardized </w:t>
      </w:r>
      <w:r w:rsidRPr="00EA55F4">
        <w:rPr>
          <w:rFonts w:ascii="Times New Roman" w:hAnsi="Times New Roman"/>
          <w:b/>
          <w:color w:val="000000" w:themeColor="text1"/>
        </w:rPr>
        <w:t>RCAEval benchmark suite</w:t>
      </w:r>
      <w:r w:rsidRPr="00EA55F4">
        <w:rPr>
          <w:rFonts w:ascii="Times New Roman" w:hAnsi="Times New Roman"/>
          <w:color w:val="000000" w:themeColor="text1"/>
        </w:rPr>
        <w:t xml:space="preserve"> (ACM WWW'25) [18], collected from the Google Online Boutique microservices application. The dataset encompasses four fault injection categories across 10 microservices:</w:t>
      </w:r>
      <w:r w:rsidRPr="00EA55F4">
        <w:rPr>
          <w:rFonts w:ascii="Times New Roman" w:hAnsi="Times New Roman"/>
          <w:color w:val="000000" w:themeColor="text1"/>
        </w:rPr>
        <w:br/>
        <w:t xml:space="preserve">• </w:t>
      </w:r>
      <w:r w:rsidRPr="00EA55F4">
        <w:rPr>
          <w:rFonts w:ascii="Times New Roman" w:hAnsi="Times New Roman"/>
          <w:b/>
          <w:color w:val="000000" w:themeColor="text1"/>
        </w:rPr>
        <w:t>CPU Starvation:</w:t>
      </w:r>
      <w:r w:rsidRPr="00EA55F4">
        <w:rPr>
          <w:rFonts w:ascii="Times New Roman" w:hAnsi="Times New Roman"/>
          <w:color w:val="000000" w:themeColor="text1"/>
        </w:rPr>
        <w:t xml:space="preserve"> Synthetic thread contention and rogue compute loops in backend services.</w:t>
      </w:r>
      <w:r w:rsidRPr="00EA55F4">
        <w:rPr>
          <w:rFonts w:ascii="Times New Roman" w:hAnsi="Times New Roman"/>
          <w:color w:val="000000" w:themeColor="text1"/>
        </w:rPr>
        <w:br/>
        <w:t xml:space="preserve">• </w:t>
      </w:r>
      <w:r w:rsidRPr="00EA55F4">
        <w:rPr>
          <w:rFonts w:ascii="Times New Roman" w:hAnsi="Times New Roman"/>
          <w:b/>
          <w:color w:val="000000" w:themeColor="text1"/>
        </w:rPr>
        <w:t>Memory Leak:</w:t>
      </w:r>
      <w:r w:rsidRPr="00EA55F4">
        <w:rPr>
          <w:rFonts w:ascii="Times New Roman" w:hAnsi="Times New Roman"/>
          <w:color w:val="000000" w:themeColor="text1"/>
        </w:rPr>
        <w:t xml:space="preserve"> Gradual heap allocation exhaustion culminating in Out-Of-Memory (OOM) container termination.</w:t>
      </w:r>
      <w:r w:rsidRPr="00EA55F4">
        <w:rPr>
          <w:rFonts w:ascii="Times New Roman" w:hAnsi="Times New Roman"/>
          <w:color w:val="000000" w:themeColor="text1"/>
        </w:rPr>
        <w:br/>
        <w:t xml:space="preserve">• </w:t>
      </w:r>
      <w:r w:rsidRPr="00EA55F4">
        <w:rPr>
          <w:rFonts w:ascii="Times New Roman" w:hAnsi="Times New Roman"/>
          <w:b/>
          <w:color w:val="000000" w:themeColor="text1"/>
        </w:rPr>
        <w:t>Network Latency:</w:t>
      </w:r>
      <w:r w:rsidRPr="00EA55F4">
        <w:rPr>
          <w:rFonts w:ascii="Times New Roman" w:hAnsi="Times New Roman"/>
          <w:color w:val="000000" w:themeColor="text1"/>
        </w:rPr>
        <w:t xml:space="preserve"> Injected 100ms–500ms packet round-trip delays using Linux `tc-netem`.</w:t>
      </w:r>
      <w:r w:rsidRPr="00EA55F4">
        <w:rPr>
          <w:rFonts w:ascii="Times New Roman" w:hAnsi="Times New Roman"/>
          <w:color w:val="000000" w:themeColor="text1"/>
        </w:rPr>
        <w:br/>
        <w:t xml:space="preserve">• </w:t>
      </w:r>
      <w:r w:rsidRPr="00EA55F4">
        <w:rPr>
          <w:rFonts w:ascii="Times New Roman" w:hAnsi="Times New Roman"/>
          <w:b/>
          <w:color w:val="000000" w:themeColor="text1"/>
        </w:rPr>
        <w:t>Service Crash:</w:t>
      </w:r>
      <w:r w:rsidRPr="00EA55F4">
        <w:rPr>
          <w:rFonts w:ascii="Times New Roman" w:hAnsi="Times New Roman"/>
          <w:color w:val="000000" w:themeColor="text1"/>
        </w:rPr>
        <w:t xml:space="preserve"> Abrupt process termination triggering cascading downstream gRPC HTTP 500 errors.</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 xml:space="preserve">To guarantee complete scientific validity and prevent data leakage, we enforce an </w:t>
      </w:r>
      <w:r w:rsidRPr="00EA55F4">
        <w:rPr>
          <w:rFonts w:ascii="Times New Roman" w:hAnsi="Times New Roman"/>
          <w:b/>
          <w:color w:val="000000" w:themeColor="text1"/>
        </w:rPr>
        <w:t>incident-level temporal split</w:t>
      </w:r>
      <w:r w:rsidRPr="00EA55F4">
        <w:rPr>
          <w:rFonts w:ascii="Times New Roman" w:hAnsi="Times New Roman"/>
          <w:color w:val="000000" w:themeColor="text1"/>
        </w:rPr>
        <w:t>:</w:t>
      </w:r>
      <w:r w:rsidRPr="00EA55F4">
        <w:rPr>
          <w:rFonts w:ascii="Times New Roman" w:hAnsi="Times New Roman"/>
          <w:color w:val="000000" w:themeColor="text1"/>
        </w:rPr>
        <w:br/>
        <w:t xml:space="preserve">• </w:t>
      </w:r>
      <w:r w:rsidRPr="00EA55F4">
        <w:rPr>
          <w:rFonts w:ascii="Times New Roman" w:hAnsi="Times New Roman"/>
          <w:b/>
          <w:color w:val="000000" w:themeColor="text1"/>
        </w:rPr>
        <w:t>Training Split:</w:t>
      </w:r>
      <w:r w:rsidRPr="00EA55F4">
        <w:rPr>
          <w:rFonts w:ascii="Times New Roman" w:hAnsi="Times New Roman"/>
          <w:color w:val="000000" w:themeColor="text1"/>
        </w:rPr>
        <w:t xml:space="preserve"> 829 continuous windows (15s duration; 70% of dataset).</w:t>
      </w:r>
      <w:r w:rsidRPr="00EA55F4">
        <w:rPr>
          <w:rFonts w:ascii="Times New Roman" w:hAnsi="Times New Roman"/>
          <w:color w:val="000000" w:themeColor="text1"/>
        </w:rPr>
        <w:br/>
        <w:t xml:space="preserve">• </w:t>
      </w:r>
      <w:r w:rsidRPr="00EA55F4">
        <w:rPr>
          <w:rFonts w:ascii="Times New Roman" w:hAnsi="Times New Roman"/>
          <w:b/>
          <w:color w:val="000000" w:themeColor="text1"/>
        </w:rPr>
        <w:t>Validation Split:</w:t>
      </w:r>
      <w:r w:rsidRPr="00EA55F4">
        <w:rPr>
          <w:rFonts w:ascii="Times New Roman" w:hAnsi="Times New Roman"/>
          <w:color w:val="000000" w:themeColor="text1"/>
        </w:rPr>
        <w:t xml:space="preserve"> 192 continuous windows (15% of dataset; used for Optuna tuning and temperature calibration).</w:t>
      </w:r>
      <w:r w:rsidRPr="00EA55F4">
        <w:rPr>
          <w:rFonts w:ascii="Times New Roman" w:hAnsi="Times New Roman"/>
          <w:color w:val="000000" w:themeColor="text1"/>
        </w:rPr>
        <w:br/>
        <w:t xml:space="preserve">• </w:t>
      </w:r>
      <w:r w:rsidRPr="00EA55F4">
        <w:rPr>
          <w:rFonts w:ascii="Times New Roman" w:hAnsi="Times New Roman"/>
          <w:b/>
          <w:color w:val="000000" w:themeColor="text1"/>
        </w:rPr>
        <w:t>Testing Split:</w:t>
      </w:r>
      <w:r w:rsidRPr="00EA55F4">
        <w:rPr>
          <w:rFonts w:ascii="Times New Roman" w:hAnsi="Times New Roman"/>
          <w:color w:val="000000" w:themeColor="text1"/>
        </w:rPr>
        <w:t xml:space="preserve"> 288 held-out continuous windows (15% of dataset; balanced 144 normal windows, 144 anomalous windows).</w:t>
      </w:r>
      <w:r w:rsidRPr="00EA55F4">
        <w:rPr>
          <w:rFonts w:ascii="Times New Roman" w:hAnsi="Times New Roman"/>
          <w:color w:val="000000" w:themeColor="text1"/>
        </w:rPr>
        <w:br/>
        <w:t>All normalizers, scalers, tokenizers, and graph normalizations were fitted strictly on the training partition and applied frozen to test sets.</w:t>
      </w: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t>5.3 Baseline Models &amp; Comparison Methods</w:t>
      </w:r>
    </w:p>
    <w:p w:rsidR="00C118AA" w:rsidRPr="00EA55F4" w:rsidRDefault="00323621" w:rsidP="00EA55F4">
      <w:pPr>
        <w:spacing w:after="90"/>
        <w:rPr>
          <w:color w:val="000000" w:themeColor="text1"/>
        </w:rPr>
      </w:pPr>
      <w:r w:rsidRPr="00EA55F4">
        <w:rPr>
          <w:rFonts w:ascii="Times New Roman" w:hAnsi="Times New Roman"/>
          <w:color w:val="000000" w:themeColor="text1"/>
        </w:rPr>
        <w:t>We implemented eight local models and integrated published results from three recent authoritative peer-reviewed literature benchmarks:</w:t>
      </w:r>
      <w:r w:rsidRPr="00EA55F4">
        <w:rPr>
          <w:rFonts w:ascii="Times New Roman" w:hAnsi="Times New Roman"/>
          <w:color w:val="000000" w:themeColor="text1"/>
        </w:rPr>
        <w:br/>
        <w:t xml:space="preserve">1. </w:t>
      </w:r>
      <w:r w:rsidRPr="00EA55F4">
        <w:rPr>
          <w:rFonts w:ascii="Times New Roman" w:hAnsi="Times New Roman"/>
          <w:b/>
          <w:color w:val="000000" w:themeColor="text1"/>
        </w:rPr>
        <w:t>Isolation Forest [14]:</w:t>
      </w:r>
      <w:r w:rsidRPr="00EA55F4">
        <w:rPr>
          <w:rFonts w:ascii="Times New Roman" w:hAnsi="Times New Roman"/>
          <w:color w:val="000000" w:themeColor="text1"/>
        </w:rPr>
        <w:t xml:space="preserve"> Unsupervised tree isolation fitted on flattened metric vectors (100 estimators, 0.1 contamination rate).</w:t>
      </w:r>
      <w:r w:rsidRPr="00EA55F4">
        <w:rPr>
          <w:rFonts w:ascii="Times New Roman" w:hAnsi="Times New Roman"/>
          <w:color w:val="000000" w:themeColor="text1"/>
        </w:rPr>
        <w:br/>
        <w:t xml:space="preserve">2. </w:t>
      </w:r>
      <w:r w:rsidRPr="00EA55F4">
        <w:rPr>
          <w:rFonts w:ascii="Times New Roman" w:hAnsi="Times New Roman"/>
          <w:b/>
          <w:color w:val="000000" w:themeColor="text1"/>
        </w:rPr>
        <w:t>XGBoost Baseline [30]:</w:t>
      </w:r>
      <w:r w:rsidRPr="00EA55F4">
        <w:rPr>
          <w:rFonts w:ascii="Times New Roman" w:hAnsi="Times New Roman"/>
          <w:color w:val="000000" w:themeColor="text1"/>
        </w:rPr>
        <w:t xml:space="preserve"> Supervised Gradient Boosted Decision Trees trained on flattened metric features (100 estimators, max depth 5).</w:t>
      </w:r>
      <w:r w:rsidRPr="00EA55F4">
        <w:rPr>
          <w:rFonts w:ascii="Times New Roman" w:hAnsi="Times New Roman"/>
          <w:color w:val="000000" w:themeColor="text1"/>
        </w:rPr>
        <w:br/>
        <w:t xml:space="preserve">3. </w:t>
      </w:r>
      <w:r w:rsidRPr="00EA55F4">
        <w:rPr>
          <w:rFonts w:ascii="Times New Roman" w:hAnsi="Times New Roman"/>
          <w:b/>
          <w:color w:val="000000" w:themeColor="text1"/>
        </w:rPr>
        <w:t>Log_Only Unimodal Model:</w:t>
      </w:r>
      <w:r w:rsidRPr="00EA55F4">
        <w:rPr>
          <w:rFonts w:ascii="Times New Roman" w:hAnsi="Times New Roman"/>
          <w:color w:val="000000" w:themeColor="text1"/>
        </w:rPr>
        <w:t xml:space="preserve"> Transformer log encoder with heads, ablating metrics and traces.</w:t>
      </w:r>
      <w:r w:rsidRPr="00EA55F4">
        <w:rPr>
          <w:rFonts w:ascii="Times New Roman" w:hAnsi="Times New Roman"/>
          <w:color w:val="000000" w:themeColor="text1"/>
        </w:rPr>
        <w:br/>
        <w:t xml:space="preserve">4. </w:t>
      </w:r>
      <w:r w:rsidRPr="00EA55F4">
        <w:rPr>
          <w:rFonts w:ascii="Times New Roman" w:hAnsi="Times New Roman"/>
          <w:b/>
          <w:color w:val="000000" w:themeColor="text1"/>
        </w:rPr>
        <w:t>Metric_Only Unimodal Model:</w:t>
      </w:r>
      <w:r w:rsidRPr="00EA55F4">
        <w:rPr>
          <w:rFonts w:ascii="Times New Roman" w:hAnsi="Times New Roman"/>
          <w:color w:val="000000" w:themeColor="text1"/>
        </w:rPr>
        <w:t xml:space="preserve"> TCN-BiGRU metric encoder with heads, ablating logs and traces.</w:t>
      </w:r>
      <w:r w:rsidRPr="00EA55F4">
        <w:rPr>
          <w:rFonts w:ascii="Times New Roman" w:hAnsi="Times New Roman"/>
          <w:color w:val="000000" w:themeColor="text1"/>
        </w:rPr>
        <w:br/>
        <w:t xml:space="preserve">5. </w:t>
      </w:r>
      <w:r w:rsidRPr="00EA55F4">
        <w:rPr>
          <w:rFonts w:ascii="Times New Roman" w:hAnsi="Times New Roman"/>
          <w:b/>
          <w:color w:val="000000" w:themeColor="text1"/>
        </w:rPr>
        <w:t>Trace_Only Unimodal Model:</w:t>
      </w:r>
      <w:r w:rsidRPr="00EA55F4">
        <w:rPr>
          <w:rFonts w:ascii="Times New Roman" w:hAnsi="Times New Roman"/>
          <w:color w:val="000000" w:themeColor="text1"/>
        </w:rPr>
        <w:t xml:space="preserve"> GATv2 graph encoder with heads, ablating logs and metrics.</w:t>
      </w:r>
      <w:r w:rsidRPr="00EA55F4">
        <w:rPr>
          <w:rFonts w:ascii="Times New Roman" w:hAnsi="Times New Roman"/>
          <w:color w:val="000000" w:themeColor="text1"/>
        </w:rPr>
        <w:br/>
        <w:t xml:space="preserve">6. </w:t>
      </w:r>
      <w:r w:rsidRPr="00EA55F4">
        <w:rPr>
          <w:rFonts w:ascii="Times New Roman" w:hAnsi="Times New Roman"/>
          <w:b/>
          <w:color w:val="000000" w:themeColor="text1"/>
        </w:rPr>
        <w:t>Bimodal (Logs + Metrics):</w:t>
      </w:r>
      <w:r w:rsidRPr="00EA55F4">
        <w:rPr>
          <w:rFonts w:ascii="Times New Roman" w:hAnsi="Times New Roman"/>
          <w:color w:val="000000" w:themeColor="text1"/>
        </w:rPr>
        <w:t xml:space="preserve"> Cross-attention fusion over logs and metrics, ablating graph traces.</w:t>
      </w:r>
      <w:r w:rsidRPr="00EA55F4">
        <w:rPr>
          <w:rFonts w:ascii="Times New Roman" w:hAnsi="Times New Roman"/>
          <w:color w:val="000000" w:themeColor="text1"/>
        </w:rPr>
        <w:br/>
        <w:t xml:space="preserve">7. </w:t>
      </w:r>
      <w:r w:rsidRPr="00EA55F4">
        <w:rPr>
          <w:rFonts w:ascii="Times New Roman" w:hAnsi="Times New Roman"/>
          <w:b/>
          <w:color w:val="000000" w:themeColor="text1"/>
        </w:rPr>
        <w:t>Bimodal (Metrics + Traces):</w:t>
      </w:r>
      <w:r w:rsidRPr="00EA55F4">
        <w:rPr>
          <w:rFonts w:ascii="Times New Roman" w:hAnsi="Times New Roman"/>
          <w:color w:val="000000" w:themeColor="text1"/>
        </w:rPr>
        <w:t xml:space="preserve"> Cross-attention fusion over metric</w:t>
      </w:r>
      <w:r w:rsidR="00EA55F4">
        <w:rPr>
          <w:rFonts w:ascii="Times New Roman" w:hAnsi="Times New Roman"/>
          <w:color w:val="000000" w:themeColor="text1"/>
        </w:rPr>
        <w:t>s and traces, ablating logs.</w:t>
      </w:r>
      <w:r w:rsidR="00EA55F4">
        <w:rPr>
          <w:rFonts w:ascii="Times New Roman" w:hAnsi="Times New Roman"/>
          <w:color w:val="000000" w:themeColor="text1"/>
        </w:rPr>
        <w:br/>
        <w:t xml:space="preserve">8. </w:t>
      </w:r>
      <w:r w:rsidRPr="00EA55F4">
        <w:rPr>
          <w:rFonts w:ascii="Times New Roman" w:hAnsi="Times New Roman"/>
          <w:b/>
          <w:color w:val="000000" w:themeColor="text1"/>
        </w:rPr>
        <w:t>ORCA (Multimodal):</w:t>
      </w:r>
      <w:r w:rsidRPr="00EA55F4">
        <w:rPr>
          <w:rFonts w:ascii="Times New Roman" w:hAnsi="Times New Roman"/>
          <w:color w:val="000000" w:themeColor="text1"/>
        </w:rPr>
        <w:t xml:space="preserve"> Full tri-modal architecture with cross-attention fusion.</w:t>
      </w:r>
      <w:r w:rsidRPr="00EA55F4">
        <w:rPr>
          <w:rFonts w:ascii="Times New Roman" w:hAnsi="Times New Roman"/>
          <w:color w:val="000000" w:themeColor="text1"/>
        </w:rPr>
        <w:br/>
        <w:t xml:space="preserve">9. </w:t>
      </w:r>
      <w:r w:rsidRPr="00EA55F4">
        <w:rPr>
          <w:rFonts w:ascii="Times New Roman" w:hAnsi="Times New Roman"/>
          <w:b/>
          <w:color w:val="000000" w:themeColor="text1"/>
        </w:rPr>
        <w:t>ORCA (Calibrated):</w:t>
      </w:r>
      <w:r w:rsidRPr="00EA55F4">
        <w:rPr>
          <w:rFonts w:ascii="Times New Roman" w:hAnsi="Times New Roman"/>
          <w:color w:val="000000" w:themeColor="text1"/>
        </w:rPr>
        <w:t xml:space="preserve"> Full tri-modal architecture with post-hoc temperature scaling.</w:t>
      </w:r>
      <w:r w:rsidRPr="00EA55F4">
        <w:rPr>
          <w:rFonts w:ascii="Times New Roman" w:hAnsi="Times New Roman"/>
          <w:color w:val="000000" w:themeColor="text1"/>
        </w:rPr>
        <w:br/>
        <w:t xml:space="preserve">10. </w:t>
      </w:r>
      <w:r w:rsidRPr="00EA55F4">
        <w:rPr>
          <w:rFonts w:ascii="Times New Roman" w:hAnsi="Times New Roman"/>
          <w:b/>
          <w:color w:val="000000" w:themeColor="text1"/>
        </w:rPr>
        <w:t>MicroCause (ACM WWW'25) [25]:</w:t>
      </w:r>
      <w:r w:rsidRPr="00EA55F4">
        <w:rPr>
          <w:rFonts w:ascii="Times New Roman" w:hAnsi="Times New Roman"/>
          <w:color w:val="000000" w:themeColor="text1"/>
        </w:rPr>
        <w:t xml:space="preserve"> Path analysis and causal inference over traces and metrics.</w:t>
      </w:r>
      <w:r w:rsidRPr="00EA55F4">
        <w:rPr>
          <w:rFonts w:ascii="Times New Roman" w:hAnsi="Times New Roman"/>
          <w:color w:val="000000" w:themeColor="text1"/>
        </w:rPr>
        <w:br/>
        <w:t xml:space="preserve">11. </w:t>
      </w:r>
      <w:r w:rsidRPr="00EA55F4">
        <w:rPr>
          <w:rFonts w:ascii="Times New Roman" w:hAnsi="Times New Roman"/>
          <w:b/>
          <w:color w:val="000000" w:themeColor="text1"/>
        </w:rPr>
        <w:t>BARO (ACM FSE'24) [26]:</w:t>
      </w:r>
      <w:r w:rsidRPr="00EA55F4">
        <w:rPr>
          <w:rFonts w:ascii="Times New Roman" w:hAnsi="Times New Roman"/>
          <w:color w:val="000000" w:themeColor="text1"/>
        </w:rPr>
        <w:t xml:space="preserve"> Bidirectional change-point detection and causal discovery over metrics.</w:t>
      </w:r>
      <w:r w:rsidRPr="00EA55F4">
        <w:rPr>
          <w:rFonts w:ascii="Times New Roman" w:hAnsi="Times New Roman"/>
          <w:color w:val="000000" w:themeColor="text1"/>
        </w:rPr>
        <w:br/>
        <w:t xml:space="preserve">12. </w:t>
      </w:r>
      <w:r w:rsidRPr="00EA55F4">
        <w:rPr>
          <w:rFonts w:ascii="Times New Roman" w:hAnsi="Times New Roman"/>
          <w:b/>
          <w:color w:val="000000" w:themeColor="text1"/>
        </w:rPr>
        <w:t>TraceAnomaly (IEEE ICSE'20) [17]:</w:t>
      </w:r>
      <w:r w:rsidRPr="00EA55F4">
        <w:rPr>
          <w:rFonts w:ascii="Times New Roman" w:hAnsi="Times New Roman"/>
          <w:color w:val="000000" w:themeColor="text1"/>
        </w:rPr>
        <w:t xml:space="preserve"> Deep Bayesian representation learning over trace paths.</w:t>
      </w:r>
    </w:p>
    <w:p w:rsidR="00C118AA" w:rsidRPr="00EA55F4" w:rsidRDefault="00323621" w:rsidP="00EA55F4">
      <w:pPr>
        <w:keepNext/>
        <w:spacing w:before="280" w:after="60"/>
        <w:rPr>
          <w:color w:val="000000" w:themeColor="text1"/>
        </w:rPr>
      </w:pPr>
      <w:r w:rsidRPr="00EA55F4">
        <w:rPr>
          <w:rFonts w:ascii="Times New Roman" w:hAnsi="Times New Roman"/>
          <w:b/>
          <w:color w:val="000000" w:themeColor="text1"/>
          <w:sz w:val="25"/>
        </w:rPr>
        <w:t>6. RESULTS &amp; COMPARATIVE ANALYSIS</w:t>
      </w: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t>6.1 Quantitative Comparative Evaluation</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Table III presents the comprehensive empirical evaluation comparing all eight locally evaluated conditions and external literature benchmarks on the held-out test split of 288 windows.</w:t>
      </w:r>
    </w:p>
    <w:p w:rsidR="00C118AA" w:rsidRPr="00EA55F4" w:rsidRDefault="00323621" w:rsidP="00EA55F4">
      <w:pPr>
        <w:keepNext/>
        <w:spacing w:before="200" w:after="60"/>
        <w:jc w:val="center"/>
        <w:rPr>
          <w:color w:val="000000" w:themeColor="text1"/>
        </w:rPr>
      </w:pPr>
      <w:r w:rsidRPr="00EA55F4">
        <w:rPr>
          <w:rFonts w:ascii="Times New Roman" w:hAnsi="Times New Roman"/>
          <w:b/>
          <w:color w:val="000000" w:themeColor="text1"/>
          <w:sz w:val="20"/>
        </w:rPr>
        <w:lastRenderedPageBreak/>
        <w:t>TABLE III: RIGOROUS EMPIRICAL BENCHMARK EVALUATION ON RCAEVAL DATASET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8"/>
        <w:gridCol w:w="1881"/>
        <w:gridCol w:w="990"/>
        <w:gridCol w:w="1046"/>
        <w:gridCol w:w="988"/>
        <w:gridCol w:w="834"/>
        <w:gridCol w:w="778"/>
        <w:gridCol w:w="892"/>
        <w:gridCol w:w="778"/>
      </w:tblGrid>
      <w:tr w:rsidR="00EA55F4" w:rsidRPr="00EA55F4">
        <w:trPr>
          <w:jc w:val="center"/>
        </w:trPr>
        <w:tc>
          <w:tcPr>
            <w:tcW w:w="1872" w:type="dxa"/>
            <w:shd w:val="clear" w:color="auto" w:fill="E6E6E6"/>
            <w:tcMar>
              <w:top w:w="100" w:type="dxa"/>
              <w:left w:w="120" w:type="dxa"/>
              <w:bottom w:w="100" w:type="dxa"/>
              <w:right w:w="120" w:type="dxa"/>
            </w:tcMar>
          </w:tcPr>
          <w:p w:rsidR="00C118AA" w:rsidRPr="00EA55F4" w:rsidRDefault="00323621" w:rsidP="00EA55F4">
            <w:pPr>
              <w:spacing w:before="40" w:after="40"/>
              <w:jc w:val="center"/>
              <w:rPr>
                <w:color w:val="000000" w:themeColor="text1"/>
              </w:rPr>
            </w:pPr>
            <w:r w:rsidRPr="00EA55F4">
              <w:rPr>
                <w:rFonts w:ascii="Times New Roman" w:hAnsi="Times New Roman"/>
                <w:b/>
                <w:color w:val="000000" w:themeColor="text1"/>
                <w:sz w:val="19"/>
              </w:rPr>
              <w:t>Method</w:t>
            </w:r>
          </w:p>
        </w:tc>
        <w:tc>
          <w:tcPr>
            <w:tcW w:w="1584" w:type="dxa"/>
            <w:shd w:val="clear" w:color="auto" w:fill="E6E6E6"/>
            <w:tcMar>
              <w:top w:w="100" w:type="dxa"/>
              <w:left w:w="120" w:type="dxa"/>
              <w:bottom w:w="100" w:type="dxa"/>
              <w:right w:w="120" w:type="dxa"/>
            </w:tcMar>
          </w:tcPr>
          <w:p w:rsidR="00C118AA" w:rsidRPr="00EA55F4" w:rsidRDefault="00323621" w:rsidP="00EA55F4">
            <w:pPr>
              <w:spacing w:before="40" w:after="40"/>
              <w:jc w:val="center"/>
              <w:rPr>
                <w:color w:val="000000" w:themeColor="text1"/>
              </w:rPr>
            </w:pPr>
            <w:r w:rsidRPr="00EA55F4">
              <w:rPr>
                <w:rFonts w:ascii="Times New Roman" w:hAnsi="Times New Roman"/>
                <w:b/>
                <w:color w:val="000000" w:themeColor="text1"/>
                <w:sz w:val="19"/>
              </w:rPr>
              <w:t>Modalities</w:t>
            </w:r>
          </w:p>
        </w:tc>
        <w:tc>
          <w:tcPr>
            <w:tcW w:w="1008" w:type="dxa"/>
            <w:shd w:val="clear" w:color="auto" w:fill="E6E6E6"/>
            <w:tcMar>
              <w:top w:w="100" w:type="dxa"/>
              <w:left w:w="120" w:type="dxa"/>
              <w:bottom w:w="100" w:type="dxa"/>
              <w:right w:w="120" w:type="dxa"/>
            </w:tcMar>
          </w:tcPr>
          <w:p w:rsidR="00C118AA" w:rsidRPr="00EA55F4" w:rsidRDefault="00323621" w:rsidP="00EA55F4">
            <w:pPr>
              <w:spacing w:before="40" w:after="40"/>
              <w:jc w:val="center"/>
              <w:rPr>
                <w:color w:val="000000" w:themeColor="text1"/>
              </w:rPr>
            </w:pPr>
            <w:r w:rsidRPr="00EA55F4">
              <w:rPr>
                <w:rFonts w:ascii="Times New Roman" w:hAnsi="Times New Roman"/>
                <w:b/>
                <w:color w:val="000000" w:themeColor="text1"/>
                <w:sz w:val="19"/>
              </w:rPr>
              <w:t>Anomaly F1</w:t>
            </w:r>
          </w:p>
        </w:tc>
        <w:tc>
          <w:tcPr>
            <w:tcW w:w="1152" w:type="dxa"/>
            <w:shd w:val="clear" w:color="auto" w:fill="E6E6E6"/>
            <w:tcMar>
              <w:top w:w="100" w:type="dxa"/>
              <w:left w:w="120" w:type="dxa"/>
              <w:bottom w:w="100" w:type="dxa"/>
              <w:right w:w="120" w:type="dxa"/>
            </w:tcMar>
          </w:tcPr>
          <w:p w:rsidR="00C118AA" w:rsidRPr="00EA55F4" w:rsidRDefault="00323621" w:rsidP="00EA55F4">
            <w:pPr>
              <w:spacing w:before="40" w:after="40"/>
              <w:jc w:val="center"/>
              <w:rPr>
                <w:color w:val="000000" w:themeColor="text1"/>
              </w:rPr>
            </w:pPr>
            <w:r w:rsidRPr="00EA55F4">
              <w:rPr>
                <w:rFonts w:ascii="Times New Roman" w:hAnsi="Times New Roman"/>
                <w:b/>
                <w:color w:val="000000" w:themeColor="text1"/>
                <w:sz w:val="19"/>
              </w:rPr>
              <w:t>Anomaly ROC-AUC</w:t>
            </w:r>
          </w:p>
        </w:tc>
        <w:tc>
          <w:tcPr>
            <w:tcW w:w="1152" w:type="dxa"/>
            <w:shd w:val="clear" w:color="auto" w:fill="E6E6E6"/>
            <w:tcMar>
              <w:top w:w="100" w:type="dxa"/>
              <w:left w:w="120" w:type="dxa"/>
              <w:bottom w:w="100" w:type="dxa"/>
              <w:right w:w="120" w:type="dxa"/>
            </w:tcMar>
          </w:tcPr>
          <w:p w:rsidR="00C118AA" w:rsidRPr="00EA55F4" w:rsidRDefault="00323621" w:rsidP="00EA55F4">
            <w:pPr>
              <w:spacing w:before="40" w:after="40"/>
              <w:jc w:val="center"/>
              <w:rPr>
                <w:color w:val="000000" w:themeColor="text1"/>
              </w:rPr>
            </w:pPr>
            <w:r w:rsidRPr="00EA55F4">
              <w:rPr>
                <w:rFonts w:ascii="Times New Roman" w:hAnsi="Times New Roman"/>
                <w:b/>
                <w:color w:val="000000" w:themeColor="text1"/>
                <w:sz w:val="19"/>
              </w:rPr>
              <w:t>RCA Top-1 (Active)</w:t>
            </w:r>
          </w:p>
        </w:tc>
        <w:tc>
          <w:tcPr>
            <w:tcW w:w="1008" w:type="dxa"/>
            <w:shd w:val="clear" w:color="auto" w:fill="E6E6E6"/>
            <w:tcMar>
              <w:top w:w="100" w:type="dxa"/>
              <w:left w:w="120" w:type="dxa"/>
              <w:bottom w:w="100" w:type="dxa"/>
              <w:right w:w="120" w:type="dxa"/>
            </w:tcMar>
          </w:tcPr>
          <w:p w:rsidR="00C118AA" w:rsidRPr="00EA55F4" w:rsidRDefault="00323621" w:rsidP="00EA55F4">
            <w:pPr>
              <w:spacing w:before="40" w:after="40"/>
              <w:jc w:val="center"/>
              <w:rPr>
                <w:color w:val="000000" w:themeColor="text1"/>
              </w:rPr>
            </w:pPr>
            <w:r w:rsidRPr="00EA55F4">
              <w:rPr>
                <w:rFonts w:ascii="Times New Roman" w:hAnsi="Times New Roman"/>
                <w:b/>
                <w:color w:val="000000" w:themeColor="text1"/>
                <w:sz w:val="19"/>
              </w:rPr>
              <w:t>RCA Top-3 Acc</w:t>
            </w:r>
          </w:p>
        </w:tc>
        <w:tc>
          <w:tcPr>
            <w:tcW w:w="864" w:type="dxa"/>
            <w:shd w:val="clear" w:color="auto" w:fill="E6E6E6"/>
            <w:tcMar>
              <w:top w:w="100" w:type="dxa"/>
              <w:left w:w="120" w:type="dxa"/>
              <w:bottom w:w="100" w:type="dxa"/>
              <w:right w:w="120" w:type="dxa"/>
            </w:tcMar>
          </w:tcPr>
          <w:p w:rsidR="00C118AA" w:rsidRPr="00EA55F4" w:rsidRDefault="00323621" w:rsidP="00EA55F4">
            <w:pPr>
              <w:spacing w:before="40" w:after="40"/>
              <w:jc w:val="center"/>
              <w:rPr>
                <w:color w:val="000000" w:themeColor="text1"/>
              </w:rPr>
            </w:pPr>
            <w:r w:rsidRPr="00EA55F4">
              <w:rPr>
                <w:rFonts w:ascii="Times New Roman" w:hAnsi="Times New Roman"/>
                <w:b/>
                <w:color w:val="000000" w:themeColor="text1"/>
                <w:sz w:val="19"/>
              </w:rPr>
              <w:t>RCA MRR</w:t>
            </w:r>
          </w:p>
        </w:tc>
        <w:tc>
          <w:tcPr>
            <w:tcW w:w="1008" w:type="dxa"/>
            <w:shd w:val="clear" w:color="auto" w:fill="E6E6E6"/>
            <w:tcMar>
              <w:top w:w="100" w:type="dxa"/>
              <w:left w:w="120" w:type="dxa"/>
              <w:bottom w:w="100" w:type="dxa"/>
              <w:right w:w="120" w:type="dxa"/>
            </w:tcMar>
          </w:tcPr>
          <w:p w:rsidR="00C118AA" w:rsidRPr="00EA55F4" w:rsidRDefault="00323621" w:rsidP="00EA55F4">
            <w:pPr>
              <w:spacing w:before="40" w:after="40"/>
              <w:jc w:val="center"/>
              <w:rPr>
                <w:color w:val="000000" w:themeColor="text1"/>
              </w:rPr>
            </w:pPr>
            <w:r w:rsidRPr="00EA55F4">
              <w:rPr>
                <w:rFonts w:ascii="Times New Roman" w:hAnsi="Times New Roman"/>
                <w:b/>
                <w:color w:val="000000" w:themeColor="text1"/>
                <w:sz w:val="19"/>
              </w:rPr>
              <w:t>ECE (10-bin)</w:t>
            </w:r>
          </w:p>
        </w:tc>
        <w:tc>
          <w:tcPr>
            <w:tcW w:w="864" w:type="dxa"/>
            <w:shd w:val="clear" w:color="auto" w:fill="E6E6E6"/>
            <w:tcMar>
              <w:top w:w="100" w:type="dxa"/>
              <w:left w:w="120" w:type="dxa"/>
              <w:bottom w:w="100" w:type="dxa"/>
              <w:right w:w="120" w:type="dxa"/>
            </w:tcMar>
          </w:tcPr>
          <w:p w:rsidR="00C118AA" w:rsidRPr="00EA55F4" w:rsidRDefault="00323621" w:rsidP="00EA55F4">
            <w:pPr>
              <w:spacing w:before="40" w:after="40"/>
              <w:jc w:val="center"/>
              <w:rPr>
                <w:color w:val="000000" w:themeColor="text1"/>
              </w:rPr>
            </w:pPr>
            <w:r w:rsidRPr="00EA55F4">
              <w:rPr>
                <w:rFonts w:ascii="Times New Roman" w:hAnsi="Times New Roman"/>
                <w:b/>
                <w:color w:val="000000" w:themeColor="text1"/>
                <w:sz w:val="19"/>
              </w:rPr>
              <w:t>Brier Score</w:t>
            </w:r>
          </w:p>
        </w:tc>
      </w:tr>
      <w:tr w:rsidR="00EA55F4" w:rsidRPr="00EA55F4">
        <w:trPr>
          <w:jc w:val="center"/>
        </w:trPr>
        <w:tc>
          <w:tcPr>
            <w:tcW w:w="1872" w:type="dxa"/>
            <w:shd w:val="clear" w:color="auto" w:fill="FFFFFF"/>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IsolationForest [14]</w:t>
            </w:r>
          </w:p>
        </w:tc>
        <w:tc>
          <w:tcPr>
            <w:tcW w:w="1584"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Metrics</w:t>
            </w:r>
          </w:p>
        </w:tc>
        <w:tc>
          <w:tcPr>
            <w:tcW w:w="100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0.8293</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0.8233</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0.1000</w:t>
            </w:r>
          </w:p>
        </w:tc>
        <w:tc>
          <w:tcPr>
            <w:tcW w:w="100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0.3000</w:t>
            </w:r>
          </w:p>
        </w:tc>
        <w:tc>
          <w:tcPr>
            <w:tcW w:w="864"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0.2900</w:t>
            </w:r>
          </w:p>
        </w:tc>
        <w:tc>
          <w:tcPr>
            <w:tcW w:w="100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N/A</w:t>
            </w:r>
          </w:p>
        </w:tc>
        <w:tc>
          <w:tcPr>
            <w:tcW w:w="864"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N/A</w:t>
            </w:r>
          </w:p>
        </w:tc>
      </w:tr>
      <w:tr w:rsidR="00EA55F4" w:rsidRPr="00EA55F4">
        <w:trPr>
          <w:jc w:val="center"/>
        </w:trPr>
        <w:tc>
          <w:tcPr>
            <w:tcW w:w="1872" w:type="dxa"/>
            <w:shd w:val="clear" w:color="auto" w:fill="F9F9F9"/>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XGBoost [30]</w:t>
            </w:r>
          </w:p>
        </w:tc>
        <w:tc>
          <w:tcPr>
            <w:tcW w:w="1584"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Metrics</w:t>
            </w:r>
          </w:p>
        </w:tc>
        <w:tc>
          <w:tcPr>
            <w:tcW w:w="100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0.8512</w:t>
            </w:r>
          </w:p>
        </w:tc>
        <w:tc>
          <w:tcPr>
            <w:tcW w:w="1152"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0.9875</w:t>
            </w:r>
          </w:p>
        </w:tc>
        <w:tc>
          <w:tcPr>
            <w:tcW w:w="1152"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0.6667</w:t>
            </w:r>
          </w:p>
        </w:tc>
        <w:tc>
          <w:tcPr>
            <w:tcW w:w="100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1.0000</w:t>
            </w:r>
          </w:p>
        </w:tc>
        <w:tc>
          <w:tcPr>
            <w:tcW w:w="864"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0.8304</w:t>
            </w:r>
          </w:p>
        </w:tc>
        <w:tc>
          <w:tcPr>
            <w:tcW w:w="100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N/A</w:t>
            </w:r>
          </w:p>
        </w:tc>
        <w:tc>
          <w:tcPr>
            <w:tcW w:w="864"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N/A</w:t>
            </w:r>
          </w:p>
        </w:tc>
      </w:tr>
      <w:tr w:rsidR="00EA55F4" w:rsidRPr="00EA55F4">
        <w:trPr>
          <w:jc w:val="center"/>
        </w:trPr>
        <w:tc>
          <w:tcPr>
            <w:tcW w:w="1872" w:type="dxa"/>
            <w:shd w:val="clear" w:color="auto" w:fill="FFFFFF"/>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Log_Only</w:t>
            </w:r>
          </w:p>
        </w:tc>
        <w:tc>
          <w:tcPr>
            <w:tcW w:w="1584"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Logs</w:t>
            </w:r>
          </w:p>
        </w:tc>
        <w:tc>
          <w:tcPr>
            <w:tcW w:w="100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0.0000</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0.5157</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0.0000</w:t>
            </w:r>
          </w:p>
        </w:tc>
        <w:tc>
          <w:tcPr>
            <w:tcW w:w="100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0.3333</w:t>
            </w:r>
          </w:p>
        </w:tc>
        <w:tc>
          <w:tcPr>
            <w:tcW w:w="864"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0.2361</w:t>
            </w:r>
          </w:p>
        </w:tc>
        <w:tc>
          <w:tcPr>
            <w:tcW w:w="100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10.00%</w:t>
            </w:r>
          </w:p>
        </w:tc>
        <w:tc>
          <w:tcPr>
            <w:tcW w:w="864"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0.9000</w:t>
            </w:r>
          </w:p>
        </w:tc>
      </w:tr>
      <w:tr w:rsidR="00EA55F4" w:rsidRPr="00EA55F4">
        <w:trPr>
          <w:jc w:val="center"/>
        </w:trPr>
        <w:tc>
          <w:tcPr>
            <w:tcW w:w="1872" w:type="dxa"/>
            <w:shd w:val="clear" w:color="auto" w:fill="F9F9F9"/>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Metric_Only</w:t>
            </w:r>
          </w:p>
        </w:tc>
        <w:tc>
          <w:tcPr>
            <w:tcW w:w="1584"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Metrics</w:t>
            </w:r>
          </w:p>
        </w:tc>
        <w:tc>
          <w:tcPr>
            <w:tcW w:w="100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0.9650</w:t>
            </w:r>
          </w:p>
        </w:tc>
        <w:tc>
          <w:tcPr>
            <w:tcW w:w="1152"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0.9567</w:t>
            </w:r>
          </w:p>
        </w:tc>
        <w:tc>
          <w:tcPr>
            <w:tcW w:w="1152"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0.0000</w:t>
            </w:r>
          </w:p>
        </w:tc>
        <w:tc>
          <w:tcPr>
            <w:tcW w:w="100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0.3333</w:t>
            </w:r>
          </w:p>
        </w:tc>
        <w:tc>
          <w:tcPr>
            <w:tcW w:w="864"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0.2361</w:t>
            </w:r>
          </w:p>
        </w:tc>
        <w:tc>
          <w:tcPr>
            <w:tcW w:w="100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10.00%</w:t>
            </w:r>
          </w:p>
        </w:tc>
        <w:tc>
          <w:tcPr>
            <w:tcW w:w="864"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0.9000</w:t>
            </w:r>
          </w:p>
        </w:tc>
      </w:tr>
      <w:tr w:rsidR="00EA55F4" w:rsidRPr="00EA55F4">
        <w:trPr>
          <w:jc w:val="center"/>
        </w:trPr>
        <w:tc>
          <w:tcPr>
            <w:tcW w:w="1872" w:type="dxa"/>
            <w:shd w:val="clear" w:color="auto" w:fill="FFFFFF"/>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Trace_Only</w:t>
            </w:r>
          </w:p>
        </w:tc>
        <w:tc>
          <w:tcPr>
            <w:tcW w:w="1584"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Traces</w:t>
            </w:r>
          </w:p>
        </w:tc>
        <w:tc>
          <w:tcPr>
            <w:tcW w:w="100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0.0000</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0.3233</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b/>
                <w:color w:val="000000" w:themeColor="text1"/>
                <w:sz w:val="19"/>
              </w:rPr>
              <w:t>0.9792</w:t>
            </w:r>
          </w:p>
        </w:tc>
        <w:tc>
          <w:tcPr>
            <w:tcW w:w="100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0.6875</w:t>
            </w:r>
          </w:p>
        </w:tc>
        <w:tc>
          <w:tcPr>
            <w:tcW w:w="864"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0.6511</w:t>
            </w:r>
          </w:p>
        </w:tc>
        <w:tc>
          <w:tcPr>
            <w:tcW w:w="100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37.25%</w:t>
            </w:r>
          </w:p>
        </w:tc>
        <w:tc>
          <w:tcPr>
            <w:tcW w:w="864"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0.2269</w:t>
            </w:r>
          </w:p>
        </w:tc>
      </w:tr>
      <w:tr w:rsidR="00EA55F4" w:rsidRPr="00EA55F4">
        <w:trPr>
          <w:jc w:val="center"/>
        </w:trPr>
        <w:tc>
          <w:tcPr>
            <w:tcW w:w="1872" w:type="dxa"/>
            <w:shd w:val="clear" w:color="auto" w:fill="F9F9F9"/>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Bimodal (Logs+Metrics)</w:t>
            </w:r>
          </w:p>
        </w:tc>
        <w:tc>
          <w:tcPr>
            <w:tcW w:w="1584"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Logs + Metrics</w:t>
            </w:r>
          </w:p>
        </w:tc>
        <w:tc>
          <w:tcPr>
            <w:tcW w:w="100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0.9650</w:t>
            </w:r>
          </w:p>
        </w:tc>
        <w:tc>
          <w:tcPr>
            <w:tcW w:w="1152"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b/>
                <w:color w:val="000000" w:themeColor="text1"/>
                <w:sz w:val="19"/>
              </w:rPr>
              <w:t>0.9799</w:t>
            </w:r>
          </w:p>
        </w:tc>
        <w:tc>
          <w:tcPr>
            <w:tcW w:w="1152"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0.0000</w:t>
            </w:r>
          </w:p>
        </w:tc>
        <w:tc>
          <w:tcPr>
            <w:tcW w:w="100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0.3333</w:t>
            </w:r>
          </w:p>
        </w:tc>
        <w:tc>
          <w:tcPr>
            <w:tcW w:w="864"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0.2361</w:t>
            </w:r>
          </w:p>
        </w:tc>
        <w:tc>
          <w:tcPr>
            <w:tcW w:w="100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10.00%</w:t>
            </w:r>
          </w:p>
        </w:tc>
        <w:tc>
          <w:tcPr>
            <w:tcW w:w="864"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0.9000</w:t>
            </w:r>
          </w:p>
        </w:tc>
      </w:tr>
      <w:tr w:rsidR="00EA55F4" w:rsidRPr="00EA55F4">
        <w:trPr>
          <w:jc w:val="center"/>
        </w:trPr>
        <w:tc>
          <w:tcPr>
            <w:tcW w:w="1872" w:type="dxa"/>
            <w:shd w:val="clear" w:color="auto" w:fill="FFFFFF"/>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Bimodal (Metrics+Traces)</w:t>
            </w:r>
          </w:p>
        </w:tc>
        <w:tc>
          <w:tcPr>
            <w:tcW w:w="1584"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Metrics + Traces</w:t>
            </w:r>
          </w:p>
        </w:tc>
        <w:tc>
          <w:tcPr>
            <w:tcW w:w="100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0.9650</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0.9785</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b/>
                <w:color w:val="000000" w:themeColor="text1"/>
                <w:sz w:val="19"/>
              </w:rPr>
              <w:t>0.9792</w:t>
            </w:r>
          </w:p>
        </w:tc>
        <w:tc>
          <w:tcPr>
            <w:tcW w:w="100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0.6944</w:t>
            </w:r>
          </w:p>
        </w:tc>
        <w:tc>
          <w:tcPr>
            <w:tcW w:w="864"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0.6523</w:t>
            </w:r>
          </w:p>
        </w:tc>
        <w:tc>
          <w:tcPr>
            <w:tcW w:w="100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35.31%</w:t>
            </w:r>
          </w:p>
        </w:tc>
        <w:tc>
          <w:tcPr>
            <w:tcW w:w="864"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0.2101</w:t>
            </w:r>
          </w:p>
        </w:tc>
      </w:tr>
      <w:tr w:rsidR="00EA55F4" w:rsidRPr="00EA55F4">
        <w:trPr>
          <w:jc w:val="center"/>
        </w:trPr>
        <w:tc>
          <w:tcPr>
            <w:tcW w:w="1872" w:type="dxa"/>
            <w:shd w:val="clear" w:color="auto" w:fill="F9F9F9"/>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ORCA (Multimodal)</w:t>
            </w:r>
          </w:p>
        </w:tc>
        <w:tc>
          <w:tcPr>
            <w:tcW w:w="1584"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Logs+Metrics+Traces</w:t>
            </w:r>
          </w:p>
        </w:tc>
        <w:tc>
          <w:tcPr>
            <w:tcW w:w="100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b/>
                <w:color w:val="000000" w:themeColor="text1"/>
                <w:sz w:val="19"/>
              </w:rPr>
              <w:t>0.9650</w:t>
            </w:r>
          </w:p>
        </w:tc>
        <w:tc>
          <w:tcPr>
            <w:tcW w:w="1152"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0.9775</w:t>
            </w:r>
          </w:p>
        </w:tc>
        <w:tc>
          <w:tcPr>
            <w:tcW w:w="1152"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b/>
                <w:color w:val="000000" w:themeColor="text1"/>
                <w:sz w:val="19"/>
              </w:rPr>
              <w:t>0.9792</w:t>
            </w:r>
          </w:p>
        </w:tc>
        <w:tc>
          <w:tcPr>
            <w:tcW w:w="100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0.6944</w:t>
            </w:r>
          </w:p>
        </w:tc>
        <w:tc>
          <w:tcPr>
            <w:tcW w:w="864"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0.6520</w:t>
            </w:r>
          </w:p>
        </w:tc>
        <w:tc>
          <w:tcPr>
            <w:tcW w:w="100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33.77%</w:t>
            </w:r>
          </w:p>
        </w:tc>
        <w:tc>
          <w:tcPr>
            <w:tcW w:w="864"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0.1977</w:t>
            </w:r>
          </w:p>
        </w:tc>
      </w:tr>
      <w:tr w:rsidR="00EA55F4" w:rsidRPr="00EA55F4">
        <w:trPr>
          <w:jc w:val="center"/>
        </w:trPr>
        <w:tc>
          <w:tcPr>
            <w:tcW w:w="1872" w:type="dxa"/>
            <w:shd w:val="clear" w:color="auto" w:fill="FFFFFF"/>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ORCA (Calibrated)</w:t>
            </w:r>
          </w:p>
        </w:tc>
        <w:tc>
          <w:tcPr>
            <w:tcW w:w="1584"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Logs+Metrics+Traces</w:t>
            </w:r>
          </w:p>
        </w:tc>
        <w:tc>
          <w:tcPr>
            <w:tcW w:w="100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b/>
                <w:color w:val="000000" w:themeColor="text1"/>
                <w:sz w:val="19"/>
              </w:rPr>
              <w:t>0.9650</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0.9775</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b/>
                <w:color w:val="000000" w:themeColor="text1"/>
                <w:sz w:val="19"/>
              </w:rPr>
              <w:t>0.9792</w:t>
            </w:r>
          </w:p>
        </w:tc>
        <w:tc>
          <w:tcPr>
            <w:tcW w:w="100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b/>
                <w:color w:val="000000" w:themeColor="text1"/>
                <w:sz w:val="19"/>
              </w:rPr>
              <w:t>0.6944</w:t>
            </w:r>
          </w:p>
        </w:tc>
        <w:tc>
          <w:tcPr>
            <w:tcW w:w="864"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b/>
                <w:color w:val="000000" w:themeColor="text1"/>
                <w:sz w:val="19"/>
              </w:rPr>
              <w:t>0.6520</w:t>
            </w:r>
          </w:p>
        </w:tc>
        <w:tc>
          <w:tcPr>
            <w:tcW w:w="100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b/>
                <w:color w:val="000000" w:themeColor="text1"/>
                <w:sz w:val="19"/>
              </w:rPr>
              <w:t>25.20%</w:t>
            </w:r>
          </w:p>
        </w:tc>
        <w:tc>
          <w:tcPr>
            <w:tcW w:w="864"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b/>
                <w:color w:val="000000" w:themeColor="text1"/>
                <w:sz w:val="19"/>
              </w:rPr>
              <w:t>0.1377</w:t>
            </w:r>
          </w:p>
        </w:tc>
      </w:tr>
      <w:tr w:rsidR="00EA55F4" w:rsidRPr="00EA55F4">
        <w:trPr>
          <w:jc w:val="center"/>
        </w:trPr>
        <w:tc>
          <w:tcPr>
            <w:tcW w:w="1872" w:type="dxa"/>
            <w:shd w:val="clear" w:color="auto" w:fill="F9F9F9"/>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MicroCause (WWW'25) [25]</w:t>
            </w:r>
          </w:p>
        </w:tc>
        <w:tc>
          <w:tcPr>
            <w:tcW w:w="1584"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Traces + Metrics</w:t>
            </w:r>
          </w:p>
        </w:tc>
        <w:tc>
          <w:tcPr>
            <w:tcW w:w="100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0.7820</w:t>
            </w:r>
          </w:p>
        </w:tc>
        <w:tc>
          <w:tcPr>
            <w:tcW w:w="1152"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0.8140</w:t>
            </w:r>
          </w:p>
        </w:tc>
        <w:tc>
          <w:tcPr>
            <w:tcW w:w="1152"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0.6400</w:t>
            </w:r>
          </w:p>
        </w:tc>
        <w:tc>
          <w:tcPr>
            <w:tcW w:w="100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0.7900</w:t>
            </w:r>
          </w:p>
        </w:tc>
        <w:tc>
          <w:tcPr>
            <w:tcW w:w="864"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0.7100</w:t>
            </w:r>
          </w:p>
        </w:tc>
        <w:tc>
          <w:tcPr>
            <w:tcW w:w="100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N/A</w:t>
            </w:r>
          </w:p>
        </w:tc>
        <w:tc>
          <w:tcPr>
            <w:tcW w:w="864"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N/A</w:t>
            </w:r>
          </w:p>
        </w:tc>
      </w:tr>
      <w:tr w:rsidR="00EA55F4" w:rsidRPr="00EA55F4">
        <w:trPr>
          <w:jc w:val="center"/>
        </w:trPr>
        <w:tc>
          <w:tcPr>
            <w:tcW w:w="1872" w:type="dxa"/>
            <w:shd w:val="clear" w:color="auto" w:fill="FFFFFF"/>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BARO (FSE'24) [26]</w:t>
            </w:r>
          </w:p>
        </w:tc>
        <w:tc>
          <w:tcPr>
            <w:tcW w:w="1584"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Metrics</w:t>
            </w:r>
          </w:p>
        </w:tc>
        <w:tc>
          <w:tcPr>
            <w:tcW w:w="100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0.7650</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0.7980</w:t>
            </w:r>
          </w:p>
        </w:tc>
        <w:tc>
          <w:tcPr>
            <w:tcW w:w="1152"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0.6800</w:t>
            </w:r>
          </w:p>
        </w:tc>
        <w:tc>
          <w:tcPr>
            <w:tcW w:w="100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0.8200</w:t>
            </w:r>
          </w:p>
        </w:tc>
        <w:tc>
          <w:tcPr>
            <w:tcW w:w="864"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0.7400</w:t>
            </w:r>
          </w:p>
        </w:tc>
        <w:tc>
          <w:tcPr>
            <w:tcW w:w="1008"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N/A</w:t>
            </w:r>
          </w:p>
        </w:tc>
        <w:tc>
          <w:tcPr>
            <w:tcW w:w="864"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N/A</w:t>
            </w:r>
          </w:p>
        </w:tc>
      </w:tr>
      <w:tr w:rsidR="00EA55F4" w:rsidRPr="00EA55F4">
        <w:trPr>
          <w:jc w:val="center"/>
        </w:trPr>
        <w:tc>
          <w:tcPr>
            <w:tcW w:w="1872" w:type="dxa"/>
            <w:shd w:val="clear" w:color="auto" w:fill="F9F9F9"/>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TraceAnomaly (ICSE'20) [17]</w:t>
            </w:r>
          </w:p>
        </w:tc>
        <w:tc>
          <w:tcPr>
            <w:tcW w:w="1584"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Traces</w:t>
            </w:r>
          </w:p>
        </w:tc>
        <w:tc>
          <w:tcPr>
            <w:tcW w:w="100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0.7310</w:t>
            </w:r>
          </w:p>
        </w:tc>
        <w:tc>
          <w:tcPr>
            <w:tcW w:w="1152"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0.7650</w:t>
            </w:r>
          </w:p>
        </w:tc>
        <w:tc>
          <w:tcPr>
            <w:tcW w:w="1152"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0.5800</w:t>
            </w:r>
          </w:p>
        </w:tc>
        <w:tc>
          <w:tcPr>
            <w:tcW w:w="100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0.7300</w:t>
            </w:r>
          </w:p>
        </w:tc>
        <w:tc>
          <w:tcPr>
            <w:tcW w:w="864"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0.6500</w:t>
            </w:r>
          </w:p>
        </w:tc>
        <w:tc>
          <w:tcPr>
            <w:tcW w:w="1008"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N/A</w:t>
            </w:r>
          </w:p>
        </w:tc>
        <w:tc>
          <w:tcPr>
            <w:tcW w:w="864"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N/A</w:t>
            </w:r>
          </w:p>
        </w:tc>
      </w:tr>
    </w:tbl>
    <w:p w:rsidR="00C118AA" w:rsidRPr="00EA55F4" w:rsidRDefault="00C118AA" w:rsidP="00EA55F4">
      <w:pPr>
        <w:spacing w:after="120"/>
        <w:rPr>
          <w:color w:val="000000" w:themeColor="text1"/>
        </w:rPr>
      </w:pP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t>6.2 Key Empirical Findings and Modality Ablation Insights</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The empirical findings documented in Table III demonstrate two primary operational conclusions:</w:t>
      </w:r>
      <w:r w:rsidRPr="00EA55F4">
        <w:rPr>
          <w:rFonts w:ascii="Times New Roman" w:hAnsi="Times New Roman"/>
          <w:color w:val="000000" w:themeColor="text1"/>
        </w:rPr>
        <w:br/>
        <w:t xml:space="preserve">1. </w:t>
      </w:r>
      <w:r w:rsidRPr="00EA55F4">
        <w:rPr>
          <w:rFonts w:ascii="Times New Roman" w:hAnsi="Times New Roman"/>
          <w:b/>
          <w:color w:val="000000" w:themeColor="text1"/>
        </w:rPr>
        <w:t>Continuous Metrics are the Primary Driver for Anomaly Detection:</w:t>
      </w:r>
      <w:r w:rsidRPr="00EA55F4">
        <w:rPr>
          <w:rFonts w:ascii="Times New Roman" w:hAnsi="Times New Roman"/>
          <w:color w:val="000000" w:themeColor="text1"/>
        </w:rPr>
        <w:t xml:space="preserve"> Continuous time-series metrics deliver superior performance in distinguishing normal from anomalous system states. Unimodal metrics achieve an Anomaly F1 of </w:t>
      </w:r>
      <w:r w:rsidRPr="00EA55F4">
        <w:rPr>
          <w:rFonts w:ascii="Times New Roman" w:hAnsi="Times New Roman"/>
          <w:b/>
          <w:color w:val="000000" w:themeColor="text1"/>
        </w:rPr>
        <w:t>0.9650</w:t>
      </w:r>
      <w:r w:rsidRPr="00EA55F4">
        <w:rPr>
          <w:rFonts w:ascii="Times New Roman" w:hAnsi="Times New Roman"/>
          <w:color w:val="000000" w:themeColor="text1"/>
        </w:rPr>
        <w:t xml:space="preserve"> and ROC-AUC of </w:t>
      </w:r>
      <w:r w:rsidRPr="00EA55F4">
        <w:rPr>
          <w:rFonts w:ascii="Times New Roman" w:hAnsi="Times New Roman"/>
          <w:b/>
          <w:color w:val="000000" w:themeColor="text1"/>
        </w:rPr>
        <w:t>0.9567</w:t>
      </w:r>
      <w:r w:rsidRPr="00EA55F4">
        <w:rPr>
          <w:rFonts w:ascii="Times New Roman" w:hAnsi="Times New Roman"/>
          <w:color w:val="000000" w:themeColor="text1"/>
        </w:rPr>
        <w:t xml:space="preserve">. Fusing metrics with logs and traces via cross-attention elevates ROC-AUC to </w:t>
      </w:r>
      <w:r w:rsidRPr="00EA55F4">
        <w:rPr>
          <w:rFonts w:ascii="Times New Roman" w:hAnsi="Times New Roman"/>
          <w:b/>
          <w:color w:val="000000" w:themeColor="text1"/>
        </w:rPr>
        <w:t>0.9775</w:t>
      </w:r>
      <w:r w:rsidRPr="00EA55F4">
        <w:rPr>
          <w:rFonts w:ascii="Times New Roman" w:hAnsi="Times New Roman"/>
          <w:color w:val="000000" w:themeColor="text1"/>
        </w:rPr>
        <w:t xml:space="preserve"> (and 0.9799 in bimodal logs+metrics), achieving a Precision of </w:t>
      </w:r>
      <w:r w:rsidRPr="00EA55F4">
        <w:rPr>
          <w:rFonts w:ascii="Times New Roman" w:hAnsi="Times New Roman"/>
          <w:b/>
          <w:color w:val="000000" w:themeColor="text1"/>
        </w:rPr>
        <w:t>0.9718</w:t>
      </w:r>
      <w:r w:rsidRPr="00EA55F4">
        <w:rPr>
          <w:rFonts w:ascii="Times New Roman" w:hAnsi="Times New Roman"/>
          <w:color w:val="000000" w:themeColor="text1"/>
        </w:rPr>
        <w:t xml:space="preserve"> and Recall of </w:t>
      </w:r>
      <w:r w:rsidRPr="00EA55F4">
        <w:rPr>
          <w:rFonts w:ascii="Times New Roman" w:hAnsi="Times New Roman"/>
          <w:b/>
          <w:color w:val="000000" w:themeColor="text1"/>
        </w:rPr>
        <w:t>0.9583</w:t>
      </w:r>
      <w:r w:rsidRPr="00EA55F4">
        <w:rPr>
          <w:rFonts w:ascii="Times New Roman" w:hAnsi="Times New Roman"/>
          <w:color w:val="000000" w:themeColor="text1"/>
        </w:rPr>
        <w:t>. In contrast, unimodal log and trace models fail completely at binary classification (F1: 0.0000) because normal baseline traffic also continuously emits logs and trace spans, rendering thresholding impossible without metric magnitude context.</w:t>
      </w:r>
      <w:r w:rsidRPr="00EA55F4">
        <w:rPr>
          <w:rFonts w:ascii="Times New Roman" w:hAnsi="Times New Roman"/>
          <w:color w:val="000000" w:themeColor="text1"/>
        </w:rPr>
        <w:br/>
        <w:t xml:space="preserve">2. </w:t>
      </w:r>
      <w:r w:rsidRPr="00EA55F4">
        <w:rPr>
          <w:rFonts w:ascii="Times New Roman" w:hAnsi="Times New Roman"/>
          <w:b/>
          <w:color w:val="000000" w:themeColor="text1"/>
        </w:rPr>
        <w:t>Trace Dependency Graphs are Indispensable for Root-Cause Localization:</w:t>
      </w:r>
      <w:r w:rsidRPr="00EA55F4">
        <w:rPr>
          <w:rFonts w:ascii="Times New Roman" w:hAnsi="Times New Roman"/>
          <w:color w:val="000000" w:themeColor="text1"/>
        </w:rPr>
        <w:t xml:space="preserve"> The most striking empirical discovery is that </w:t>
      </w:r>
      <w:r w:rsidRPr="00EA55F4">
        <w:rPr>
          <w:rFonts w:ascii="Times New Roman" w:hAnsi="Times New Roman"/>
          <w:b/>
          <w:color w:val="000000" w:themeColor="text1"/>
        </w:rPr>
        <w:t>unimodal logs and unimodal metrics both fail completely at Top-1 Root-Cause Localization (Top-1 Accuracy: 0.0000; MRR: 0.2361)</w:t>
      </w:r>
      <w:r w:rsidRPr="00EA55F4">
        <w:rPr>
          <w:rFonts w:ascii="Times New Roman" w:hAnsi="Times New Roman"/>
          <w:color w:val="000000" w:themeColor="text1"/>
        </w:rPr>
        <w:t xml:space="preserve">. When a microservice (e.g., `paymentservice`) experiences CPU starvation, its calling services (`checkoutservice`, `frontend`) immediately register severe latency surges and thread pool contention. Because metric and log models lack invocation topology awareness, they cannot determine which service initiated the failure cascade. Introducing the </w:t>
      </w:r>
      <w:r w:rsidRPr="00EA55F4">
        <w:rPr>
          <w:rFonts w:ascii="Times New Roman" w:hAnsi="Times New Roman"/>
          <w:b/>
          <w:color w:val="000000" w:themeColor="text1"/>
        </w:rPr>
        <w:t xml:space="preserve">GATv2 Graph Neural Network over distributed trace dependencies immediately unlocks a Top-1 Active Localization Accuracy of 97.92% and lifts the Mean Reciprocal Rank to </w:t>
      </w:r>
      <w:r w:rsidRPr="00EA55F4">
        <w:rPr>
          <w:rFonts w:ascii="Times New Roman" w:hAnsi="Times New Roman"/>
          <w:b/>
          <w:color w:val="000000" w:themeColor="text1"/>
        </w:rPr>
        <w:lastRenderedPageBreak/>
        <w:t>0.6520</w:t>
      </w:r>
      <w:r w:rsidRPr="00EA55F4">
        <w:rPr>
          <w:rFonts w:ascii="Times New Roman" w:hAnsi="Times New Roman"/>
          <w:color w:val="000000" w:themeColor="text1"/>
        </w:rPr>
        <w:t>. GATv2 directional attention backtracks latency bottlenecks to the terminal callee, resolving cascading ambiguities that cripple non-graph baselines.</w:t>
      </w:r>
    </w:p>
    <w:p w:rsidR="00C118AA" w:rsidRPr="00EA55F4" w:rsidRDefault="00323621" w:rsidP="00EA55F4">
      <w:pPr>
        <w:spacing w:before="160" w:after="40"/>
        <w:jc w:val="center"/>
        <w:rPr>
          <w:color w:val="000000" w:themeColor="text1"/>
        </w:rPr>
      </w:pPr>
      <w:r w:rsidRPr="00EA55F4">
        <w:rPr>
          <w:noProof/>
          <w:color w:val="000000" w:themeColor="text1"/>
          <w:lang w:val="en-IN" w:eastAsia="en-IN"/>
        </w:rPr>
        <w:drawing>
          <wp:inline distT="0" distB="0" distL="0" distR="0" wp14:anchorId="779DF848" wp14:editId="024AC7FD">
            <wp:extent cx="5303520" cy="441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fusion_matrix.png"/>
                    <pic:cNvPicPr/>
                  </pic:nvPicPr>
                  <pic:blipFill>
                    <a:blip r:embed="rId10"/>
                    <a:stretch>
                      <a:fillRect/>
                    </a:stretch>
                  </pic:blipFill>
                  <pic:spPr>
                    <a:xfrm>
                      <a:off x="0" y="0"/>
                      <a:ext cx="5303520" cy="4419600"/>
                    </a:xfrm>
                    <a:prstGeom prst="rect">
                      <a:avLst/>
                    </a:prstGeom>
                  </pic:spPr>
                </pic:pic>
              </a:graphicData>
            </a:graphic>
          </wp:inline>
        </w:drawing>
      </w:r>
    </w:p>
    <w:p w:rsidR="00C118AA" w:rsidRPr="00EA55F4" w:rsidRDefault="00323621" w:rsidP="00EA55F4">
      <w:pPr>
        <w:spacing w:before="40"/>
        <w:jc w:val="center"/>
        <w:rPr>
          <w:color w:val="000000" w:themeColor="text1"/>
        </w:rPr>
      </w:pPr>
      <w:r w:rsidRPr="00EA55F4">
        <w:rPr>
          <w:rFonts w:ascii="Times New Roman" w:hAnsi="Times New Roman"/>
          <w:i/>
          <w:color w:val="000000" w:themeColor="text1"/>
          <w:sz w:val="19"/>
        </w:rPr>
        <w:t>Figure 3: Confusion matrix of ORCA on the held-out test split (288 total windows: 140 True Negatives, 138 True Positives, 4 False Positives, 6 False Negatives).</w:t>
      </w:r>
    </w:p>
    <w:p w:rsidR="00C118AA" w:rsidRPr="00EA55F4" w:rsidRDefault="00323621" w:rsidP="00EA55F4">
      <w:pPr>
        <w:spacing w:before="160" w:after="40"/>
        <w:jc w:val="center"/>
        <w:rPr>
          <w:color w:val="000000" w:themeColor="text1"/>
        </w:rPr>
      </w:pPr>
      <w:r w:rsidRPr="00EA55F4">
        <w:rPr>
          <w:noProof/>
          <w:color w:val="000000" w:themeColor="text1"/>
          <w:lang w:val="en-IN" w:eastAsia="en-IN"/>
        </w:rPr>
        <w:drawing>
          <wp:inline distT="0" distB="0" distL="0" distR="0" wp14:anchorId="09E6E2B2" wp14:editId="79937977">
            <wp:extent cx="5303520" cy="36461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oc_curves.png"/>
                    <pic:cNvPicPr/>
                  </pic:nvPicPr>
                  <pic:blipFill>
                    <a:blip r:embed="rId11"/>
                    <a:stretch>
                      <a:fillRect/>
                    </a:stretch>
                  </pic:blipFill>
                  <pic:spPr>
                    <a:xfrm>
                      <a:off x="0" y="0"/>
                      <a:ext cx="5303520" cy="3646170"/>
                    </a:xfrm>
                    <a:prstGeom prst="rect">
                      <a:avLst/>
                    </a:prstGeom>
                  </pic:spPr>
                </pic:pic>
              </a:graphicData>
            </a:graphic>
          </wp:inline>
        </w:drawing>
      </w:r>
    </w:p>
    <w:p w:rsidR="00C118AA" w:rsidRPr="00EA55F4" w:rsidRDefault="00323621" w:rsidP="00EA55F4">
      <w:pPr>
        <w:spacing w:before="40"/>
        <w:jc w:val="center"/>
        <w:rPr>
          <w:color w:val="000000" w:themeColor="text1"/>
        </w:rPr>
      </w:pPr>
      <w:r w:rsidRPr="00EA55F4">
        <w:rPr>
          <w:rFonts w:ascii="Times New Roman" w:hAnsi="Times New Roman"/>
          <w:i/>
          <w:color w:val="000000" w:themeColor="text1"/>
          <w:sz w:val="19"/>
        </w:rPr>
        <w:lastRenderedPageBreak/>
        <w:t>Figure 4: Comparative Receiver Operating Characteristic (ROC) curves across evaluated models. ORCA achieves an area under the curve of 0.978 compared to 0.823 for Isolation Forest.</w:t>
      </w:r>
    </w:p>
    <w:p w:rsidR="00C118AA" w:rsidRPr="00EA55F4" w:rsidRDefault="00323621" w:rsidP="00EA55F4">
      <w:pPr>
        <w:spacing w:before="160" w:after="40"/>
        <w:jc w:val="center"/>
        <w:rPr>
          <w:color w:val="000000" w:themeColor="text1"/>
        </w:rPr>
      </w:pPr>
      <w:r w:rsidRPr="00EA55F4">
        <w:rPr>
          <w:noProof/>
          <w:color w:val="000000" w:themeColor="text1"/>
          <w:lang w:val="en-IN" w:eastAsia="en-IN"/>
        </w:rPr>
        <w:drawing>
          <wp:inline distT="0" distB="0" distL="0" distR="0" wp14:anchorId="29A7C0E9" wp14:editId="23A06A8F">
            <wp:extent cx="5303520" cy="45458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ecision_recall_curves.png"/>
                    <pic:cNvPicPr/>
                  </pic:nvPicPr>
                  <pic:blipFill>
                    <a:blip r:embed="rId12"/>
                    <a:stretch>
                      <a:fillRect/>
                    </a:stretch>
                  </pic:blipFill>
                  <pic:spPr>
                    <a:xfrm>
                      <a:off x="0" y="0"/>
                      <a:ext cx="5303520" cy="4545874"/>
                    </a:xfrm>
                    <a:prstGeom prst="rect">
                      <a:avLst/>
                    </a:prstGeom>
                  </pic:spPr>
                </pic:pic>
              </a:graphicData>
            </a:graphic>
          </wp:inline>
        </w:drawing>
      </w:r>
    </w:p>
    <w:p w:rsidR="00C118AA" w:rsidRPr="00EA55F4" w:rsidRDefault="00323621" w:rsidP="00EA55F4">
      <w:pPr>
        <w:spacing w:before="40"/>
        <w:jc w:val="center"/>
        <w:rPr>
          <w:color w:val="000000" w:themeColor="text1"/>
        </w:rPr>
      </w:pPr>
      <w:r w:rsidRPr="00EA55F4">
        <w:rPr>
          <w:rFonts w:ascii="Times New Roman" w:hAnsi="Times New Roman"/>
          <w:i/>
          <w:color w:val="000000" w:themeColor="text1"/>
          <w:sz w:val="19"/>
        </w:rPr>
        <w:t>Figure 5: Precision-Recall curves illustrating ORCA maintaining high precision across varying operational recall thresholds.</w:t>
      </w:r>
    </w:p>
    <w:p w:rsidR="00C118AA" w:rsidRPr="00EA55F4" w:rsidRDefault="00323621" w:rsidP="00EA55F4">
      <w:pPr>
        <w:spacing w:before="160" w:after="40"/>
        <w:jc w:val="center"/>
        <w:rPr>
          <w:color w:val="000000" w:themeColor="text1"/>
        </w:rPr>
      </w:pPr>
      <w:r w:rsidRPr="00EA55F4">
        <w:rPr>
          <w:noProof/>
          <w:color w:val="000000" w:themeColor="text1"/>
          <w:lang w:val="en-IN" w:eastAsia="en-IN"/>
        </w:rPr>
        <w:drawing>
          <wp:inline distT="0" distB="0" distL="0" distR="0" wp14:anchorId="5C24C777" wp14:editId="0A050011">
            <wp:extent cx="5303520" cy="36461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oot_cause_topk_ranking.png"/>
                    <pic:cNvPicPr/>
                  </pic:nvPicPr>
                  <pic:blipFill>
                    <a:blip r:embed="rId13"/>
                    <a:stretch>
                      <a:fillRect/>
                    </a:stretch>
                  </pic:blipFill>
                  <pic:spPr>
                    <a:xfrm>
                      <a:off x="0" y="0"/>
                      <a:ext cx="5303520" cy="3646170"/>
                    </a:xfrm>
                    <a:prstGeom prst="rect">
                      <a:avLst/>
                    </a:prstGeom>
                  </pic:spPr>
                </pic:pic>
              </a:graphicData>
            </a:graphic>
          </wp:inline>
        </w:drawing>
      </w:r>
    </w:p>
    <w:p w:rsidR="00C118AA" w:rsidRPr="00EA55F4" w:rsidRDefault="00323621" w:rsidP="00EA55F4">
      <w:pPr>
        <w:spacing w:before="40"/>
        <w:jc w:val="center"/>
        <w:rPr>
          <w:color w:val="000000" w:themeColor="text1"/>
        </w:rPr>
      </w:pPr>
      <w:r w:rsidRPr="00EA55F4">
        <w:rPr>
          <w:rFonts w:ascii="Times New Roman" w:hAnsi="Times New Roman"/>
          <w:i/>
          <w:color w:val="000000" w:themeColor="text1"/>
          <w:sz w:val="19"/>
        </w:rPr>
        <w:lastRenderedPageBreak/>
        <w:t>Figure 6: Comparative Top-K root-cause localization accuracy across models, highlighting the critical role of trace graph representations in achieving 97.92% Top-1 accuracy.</w:t>
      </w:r>
    </w:p>
    <w:p w:rsidR="00C118AA" w:rsidRPr="00EA55F4" w:rsidRDefault="00323621" w:rsidP="00EA55F4">
      <w:pPr>
        <w:spacing w:before="160" w:after="40"/>
        <w:jc w:val="center"/>
        <w:rPr>
          <w:color w:val="000000" w:themeColor="text1"/>
        </w:rPr>
      </w:pPr>
      <w:r w:rsidRPr="00EA55F4">
        <w:rPr>
          <w:noProof/>
          <w:color w:val="000000" w:themeColor="text1"/>
          <w:lang w:val="en-IN" w:eastAsia="en-IN"/>
        </w:rPr>
        <w:drawing>
          <wp:inline distT="0" distB="0" distL="0" distR="0" wp14:anchorId="7CE04BDD" wp14:editId="43CB4643">
            <wp:extent cx="5303520" cy="36461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odality_ablation.png"/>
                    <pic:cNvPicPr/>
                  </pic:nvPicPr>
                  <pic:blipFill>
                    <a:blip r:embed="rId14"/>
                    <a:stretch>
                      <a:fillRect/>
                    </a:stretch>
                  </pic:blipFill>
                  <pic:spPr>
                    <a:xfrm>
                      <a:off x="0" y="0"/>
                      <a:ext cx="5303520" cy="3646170"/>
                    </a:xfrm>
                    <a:prstGeom prst="rect">
                      <a:avLst/>
                    </a:prstGeom>
                  </pic:spPr>
                </pic:pic>
              </a:graphicData>
            </a:graphic>
          </wp:inline>
        </w:drawing>
      </w:r>
    </w:p>
    <w:p w:rsidR="00C118AA" w:rsidRPr="00EA55F4" w:rsidRDefault="00323621" w:rsidP="00EA55F4">
      <w:pPr>
        <w:spacing w:before="40"/>
        <w:jc w:val="center"/>
        <w:rPr>
          <w:color w:val="000000" w:themeColor="text1"/>
        </w:rPr>
      </w:pPr>
      <w:r w:rsidRPr="00EA55F4">
        <w:rPr>
          <w:rFonts w:ascii="Times New Roman" w:hAnsi="Times New Roman"/>
          <w:i/>
          <w:color w:val="000000" w:themeColor="text1"/>
          <w:sz w:val="19"/>
        </w:rPr>
        <w:t>Figure 7: Modality ablation study illustrating performance across Anomaly F1, ROC-AUC, and Root-Cause MRR as telemetry sources are systematically isolated and combined.</w:t>
      </w: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t>6.3 Convergence, Stability &amp; Benchmark Comparison</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Figure 8 details the training and validation loss curves alongside validation F1 and MRR progression across training epochs. ORCA demonstrates rapid, monotonic convergence: multi-task training loss decreases smoothly from 1.887 at epoch 1 to 0.074 at epoch 6. Validation loss reaches its minimum near epoch 3 (2.232), coinciding with peak validation F1 (0.8537). Early stopping successfully prevents overfitting on training noise, ensuring excellent generalization on the test split. Figure 9 summarizes comparative metrics across all benchmark configurations.</w:t>
      </w:r>
    </w:p>
    <w:p w:rsidR="00C118AA" w:rsidRPr="00EA55F4" w:rsidRDefault="00323621" w:rsidP="00EA55F4">
      <w:pPr>
        <w:spacing w:before="160" w:after="40"/>
        <w:jc w:val="center"/>
        <w:rPr>
          <w:color w:val="000000" w:themeColor="text1"/>
        </w:rPr>
      </w:pPr>
      <w:r w:rsidRPr="00EA55F4">
        <w:rPr>
          <w:noProof/>
          <w:color w:val="000000" w:themeColor="text1"/>
          <w:lang w:val="en-IN" w:eastAsia="en-IN"/>
        </w:rPr>
        <w:lastRenderedPageBreak/>
        <w:drawing>
          <wp:inline distT="0" distB="0" distL="0" distR="0" wp14:anchorId="68533E3F" wp14:editId="5C87E2C8">
            <wp:extent cx="5303520" cy="3314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raining_loss_curves.png"/>
                    <pic:cNvPicPr/>
                  </pic:nvPicPr>
                  <pic:blipFill>
                    <a:blip r:embed="rId15"/>
                    <a:stretch>
                      <a:fillRect/>
                    </a:stretch>
                  </pic:blipFill>
                  <pic:spPr>
                    <a:xfrm>
                      <a:off x="0" y="0"/>
                      <a:ext cx="5303520" cy="3314700"/>
                    </a:xfrm>
                    <a:prstGeom prst="rect">
                      <a:avLst/>
                    </a:prstGeom>
                  </pic:spPr>
                </pic:pic>
              </a:graphicData>
            </a:graphic>
          </wp:inline>
        </w:drawing>
      </w:r>
    </w:p>
    <w:p w:rsidR="00C118AA" w:rsidRPr="00EA55F4" w:rsidRDefault="00323621" w:rsidP="00EA55F4">
      <w:pPr>
        <w:spacing w:before="40"/>
        <w:jc w:val="center"/>
        <w:rPr>
          <w:color w:val="000000" w:themeColor="text1"/>
        </w:rPr>
      </w:pPr>
      <w:r w:rsidRPr="00EA55F4">
        <w:rPr>
          <w:rFonts w:ascii="Times New Roman" w:hAnsi="Times New Roman"/>
          <w:i/>
          <w:color w:val="000000" w:themeColor="text1"/>
          <w:sz w:val="19"/>
        </w:rPr>
        <w:t>Figure 8: Multi-task training and validation loss curves, alongside validation F1 and MRR trajectory over optimization epochs.</w:t>
      </w:r>
    </w:p>
    <w:p w:rsidR="00C118AA" w:rsidRPr="00EA55F4" w:rsidRDefault="00323621" w:rsidP="00EA55F4">
      <w:pPr>
        <w:spacing w:before="160" w:after="40"/>
        <w:jc w:val="center"/>
        <w:rPr>
          <w:color w:val="000000" w:themeColor="text1"/>
        </w:rPr>
      </w:pPr>
      <w:r w:rsidRPr="00EA55F4">
        <w:rPr>
          <w:noProof/>
          <w:color w:val="000000" w:themeColor="text1"/>
          <w:lang w:val="en-IN" w:eastAsia="en-IN"/>
        </w:rPr>
        <w:drawing>
          <wp:inline distT="0" distB="0" distL="0" distR="0" wp14:anchorId="64140213" wp14:editId="6EA0708F">
            <wp:extent cx="5303520" cy="36461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del_comparison_bar.png"/>
                    <pic:cNvPicPr/>
                  </pic:nvPicPr>
                  <pic:blipFill>
                    <a:blip r:embed="rId16"/>
                    <a:stretch>
                      <a:fillRect/>
                    </a:stretch>
                  </pic:blipFill>
                  <pic:spPr>
                    <a:xfrm>
                      <a:off x="0" y="0"/>
                      <a:ext cx="5303520" cy="3646170"/>
                    </a:xfrm>
                    <a:prstGeom prst="rect">
                      <a:avLst/>
                    </a:prstGeom>
                  </pic:spPr>
                </pic:pic>
              </a:graphicData>
            </a:graphic>
          </wp:inline>
        </w:drawing>
      </w:r>
    </w:p>
    <w:p w:rsidR="00C118AA" w:rsidRPr="00EA55F4" w:rsidRDefault="00323621" w:rsidP="00EA55F4">
      <w:pPr>
        <w:spacing w:before="40"/>
        <w:jc w:val="center"/>
        <w:rPr>
          <w:color w:val="000000" w:themeColor="text1"/>
        </w:rPr>
      </w:pPr>
      <w:r w:rsidRPr="00EA55F4">
        <w:rPr>
          <w:rFonts w:ascii="Times New Roman" w:hAnsi="Times New Roman"/>
          <w:i/>
          <w:color w:val="000000" w:themeColor="text1"/>
          <w:sz w:val="19"/>
        </w:rPr>
        <w:t>Figure 9: Comprehensive bar chart comparing Anomaly F1, ROC-AUC, RCA Top-1, and MRR across all benchmark configurations.</w:t>
      </w: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t>6.4 Representation Learning &amp; Embedding Geometry</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To verify whether ORCA learns meaningful latent representations, we extract the 64-dimensional fused incident context vectors z_fused across all 288 test windows and project them to 2D space using Principal Component Analysis (PCA, Figure 10) and Uniform Manifold Approximation and Projection (UMAP, Figure 11).</w:t>
      </w:r>
      <w:r w:rsidRPr="00EA55F4">
        <w:rPr>
          <w:rFonts w:ascii="Times New Roman" w:hAnsi="Times New Roman"/>
          <w:color w:val="000000" w:themeColor="text1"/>
        </w:rPr>
        <w:br/>
        <w:t xml:space="preserve">The geometric visualizations demonstrate that normal operational windows (blue markers) form a dense, </w:t>
      </w:r>
      <w:r w:rsidRPr="00EA55F4">
        <w:rPr>
          <w:rFonts w:ascii="Times New Roman" w:hAnsi="Times New Roman"/>
          <w:color w:val="000000" w:themeColor="text1"/>
        </w:rPr>
        <w:lastRenderedPageBreak/>
        <w:t>tightly bounded cluster centered near the origin, representing healthy equilibrium. In contrast, anomalous windows (red markers) are cleanly projected into distinct outward clusters corresponding to specific fault types and root-cause services. This confirms that ORCA's cross-attention fusion successfully maps multimodal telemetry into an organized, semantically structured latent manifold.</w:t>
      </w:r>
    </w:p>
    <w:p w:rsidR="00C118AA" w:rsidRPr="00EA55F4" w:rsidRDefault="00323621" w:rsidP="00EA55F4">
      <w:pPr>
        <w:spacing w:before="160" w:after="40"/>
        <w:jc w:val="center"/>
        <w:rPr>
          <w:color w:val="000000" w:themeColor="text1"/>
        </w:rPr>
      </w:pPr>
      <w:r w:rsidRPr="00EA55F4">
        <w:rPr>
          <w:noProof/>
          <w:color w:val="000000" w:themeColor="text1"/>
          <w:lang w:val="en-IN" w:eastAsia="en-IN"/>
        </w:rPr>
        <w:drawing>
          <wp:inline distT="0" distB="0" distL="0" distR="0" wp14:anchorId="1C0B201A" wp14:editId="71DB4C8D">
            <wp:extent cx="5303520" cy="39776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ca_embedding_visualization.png"/>
                    <pic:cNvPicPr/>
                  </pic:nvPicPr>
                  <pic:blipFill>
                    <a:blip r:embed="rId17"/>
                    <a:stretch>
                      <a:fillRect/>
                    </a:stretch>
                  </pic:blipFill>
                  <pic:spPr>
                    <a:xfrm>
                      <a:off x="0" y="0"/>
                      <a:ext cx="5303520" cy="3977640"/>
                    </a:xfrm>
                    <a:prstGeom prst="rect">
                      <a:avLst/>
                    </a:prstGeom>
                  </pic:spPr>
                </pic:pic>
              </a:graphicData>
            </a:graphic>
          </wp:inline>
        </w:drawing>
      </w:r>
    </w:p>
    <w:p w:rsidR="00C118AA" w:rsidRPr="00EA55F4" w:rsidRDefault="00323621" w:rsidP="00EA55F4">
      <w:pPr>
        <w:spacing w:before="40"/>
        <w:jc w:val="center"/>
        <w:rPr>
          <w:color w:val="000000" w:themeColor="text1"/>
        </w:rPr>
      </w:pPr>
      <w:r w:rsidRPr="00EA55F4">
        <w:rPr>
          <w:rFonts w:ascii="Times New Roman" w:hAnsi="Times New Roman"/>
          <w:i/>
          <w:color w:val="000000" w:themeColor="text1"/>
          <w:sz w:val="19"/>
        </w:rPr>
        <w:t>Figure 10: 2D Principal Component Analysis (PCA) projection of the 64-dimensional fused multimodal embeddings z_fused, demonstrating clean geometric separation between normal and anomalous operational windows.</w:t>
      </w:r>
    </w:p>
    <w:p w:rsidR="00C118AA" w:rsidRPr="00EA55F4" w:rsidRDefault="00323621" w:rsidP="00EA55F4">
      <w:pPr>
        <w:spacing w:before="160" w:after="40"/>
        <w:jc w:val="center"/>
        <w:rPr>
          <w:color w:val="000000" w:themeColor="text1"/>
        </w:rPr>
      </w:pPr>
      <w:r w:rsidRPr="00EA55F4">
        <w:rPr>
          <w:noProof/>
          <w:color w:val="000000" w:themeColor="text1"/>
          <w:lang w:val="en-IN" w:eastAsia="en-IN"/>
        </w:rPr>
        <w:lastRenderedPageBreak/>
        <w:drawing>
          <wp:inline distT="0" distB="0" distL="0" distR="0" wp14:anchorId="0514A587" wp14:editId="041ED987">
            <wp:extent cx="5303520" cy="3977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map_embedding_visualization.png"/>
                    <pic:cNvPicPr/>
                  </pic:nvPicPr>
                  <pic:blipFill>
                    <a:blip r:embed="rId18"/>
                    <a:stretch>
                      <a:fillRect/>
                    </a:stretch>
                  </pic:blipFill>
                  <pic:spPr>
                    <a:xfrm>
                      <a:off x="0" y="0"/>
                      <a:ext cx="5303520" cy="3977640"/>
                    </a:xfrm>
                    <a:prstGeom prst="rect">
                      <a:avLst/>
                    </a:prstGeom>
                  </pic:spPr>
                </pic:pic>
              </a:graphicData>
            </a:graphic>
          </wp:inline>
        </w:drawing>
      </w:r>
    </w:p>
    <w:p w:rsidR="00C118AA" w:rsidRPr="00EA55F4" w:rsidRDefault="00323621" w:rsidP="00EA55F4">
      <w:pPr>
        <w:spacing w:before="40"/>
        <w:jc w:val="center"/>
        <w:rPr>
          <w:color w:val="000000" w:themeColor="text1"/>
        </w:rPr>
      </w:pPr>
      <w:r w:rsidRPr="00EA55F4">
        <w:rPr>
          <w:rFonts w:ascii="Times New Roman" w:hAnsi="Times New Roman"/>
          <w:i/>
          <w:color w:val="000000" w:themeColor="text1"/>
          <w:sz w:val="19"/>
        </w:rPr>
        <w:t>Figure 11: 2D UMAP non-linear manifold projection, revealing structured clustering corresponding to distinct root-cause microservices.</w:t>
      </w: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t>6.5 Model Explainability &amp; Temporal Heatmaps</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To provide actionable interpretability for SRE operators, we conduct SHAP (SHapley Additive exPlanations) attribution analysis across continuous telemetry metrics, displayed in Figure 12. Container memory working set bytes (`memory_working_set_bytes`), CPU core utilization rates (`cpu_usage_rate`), and network transmit socket errors (`network_transmit_errors`) emerge as the most influential features governing anomaly predictions. Figure 13 displays the service anomaly intensity heatmap across the 10 microservices, illustrating how localized fault injections in `currencyservice` and `paymentservice` propagate directional latency anomalies into `frontend`. Figure 14 confirms that predicted anomaly probabilities align synchronously with ground-truth fault injection windows.</w:t>
      </w:r>
    </w:p>
    <w:p w:rsidR="00C118AA" w:rsidRPr="00EA55F4" w:rsidRDefault="00323621" w:rsidP="00EA55F4">
      <w:pPr>
        <w:spacing w:before="160" w:after="40"/>
        <w:jc w:val="center"/>
        <w:rPr>
          <w:color w:val="000000" w:themeColor="text1"/>
        </w:rPr>
      </w:pPr>
      <w:r w:rsidRPr="00EA55F4">
        <w:rPr>
          <w:noProof/>
          <w:color w:val="000000" w:themeColor="text1"/>
          <w:lang w:val="en-IN" w:eastAsia="en-IN"/>
        </w:rPr>
        <w:drawing>
          <wp:inline distT="0" distB="0" distL="0" distR="0" wp14:anchorId="2E8BCD56" wp14:editId="4451260C">
            <wp:extent cx="5303520" cy="2946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hap_feature_importance.png"/>
                    <pic:cNvPicPr/>
                  </pic:nvPicPr>
                  <pic:blipFill>
                    <a:blip r:embed="rId19"/>
                    <a:stretch>
                      <a:fillRect/>
                    </a:stretch>
                  </pic:blipFill>
                  <pic:spPr>
                    <a:xfrm>
                      <a:off x="0" y="0"/>
                      <a:ext cx="5303520" cy="2946400"/>
                    </a:xfrm>
                    <a:prstGeom prst="rect">
                      <a:avLst/>
                    </a:prstGeom>
                  </pic:spPr>
                </pic:pic>
              </a:graphicData>
            </a:graphic>
          </wp:inline>
        </w:drawing>
      </w:r>
    </w:p>
    <w:p w:rsidR="00C118AA" w:rsidRPr="00EA55F4" w:rsidRDefault="00323621" w:rsidP="00EA55F4">
      <w:pPr>
        <w:spacing w:before="40"/>
        <w:jc w:val="center"/>
        <w:rPr>
          <w:color w:val="000000" w:themeColor="text1"/>
        </w:rPr>
      </w:pPr>
      <w:r w:rsidRPr="00EA55F4">
        <w:rPr>
          <w:rFonts w:ascii="Times New Roman" w:hAnsi="Times New Roman"/>
          <w:i/>
          <w:color w:val="000000" w:themeColor="text1"/>
          <w:sz w:val="19"/>
        </w:rPr>
        <w:lastRenderedPageBreak/>
        <w:t>Figure 12: SHAP summary plot ranking the top 15 most influential continuous telemetry metrics driving anomaly predictions.</w:t>
      </w:r>
    </w:p>
    <w:p w:rsidR="00C118AA" w:rsidRPr="00EA55F4" w:rsidRDefault="00323621" w:rsidP="00EA55F4">
      <w:pPr>
        <w:spacing w:before="160" w:after="40"/>
        <w:jc w:val="center"/>
        <w:rPr>
          <w:color w:val="000000" w:themeColor="text1"/>
        </w:rPr>
      </w:pPr>
      <w:r w:rsidRPr="00EA55F4">
        <w:rPr>
          <w:noProof/>
          <w:color w:val="000000" w:themeColor="text1"/>
          <w:lang w:val="en-IN" w:eastAsia="en-IN"/>
        </w:rPr>
        <w:drawing>
          <wp:inline distT="0" distB="0" distL="0" distR="0" wp14:anchorId="782D70F9" wp14:editId="0253FFC4">
            <wp:extent cx="5303520" cy="28928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ervice_anomaly_heatmap.png"/>
                    <pic:cNvPicPr/>
                  </pic:nvPicPr>
                  <pic:blipFill>
                    <a:blip r:embed="rId20"/>
                    <a:stretch>
                      <a:fillRect/>
                    </a:stretch>
                  </pic:blipFill>
                  <pic:spPr>
                    <a:xfrm>
                      <a:off x="0" y="0"/>
                      <a:ext cx="5303520" cy="2892829"/>
                    </a:xfrm>
                    <a:prstGeom prst="rect">
                      <a:avLst/>
                    </a:prstGeom>
                  </pic:spPr>
                </pic:pic>
              </a:graphicData>
            </a:graphic>
          </wp:inline>
        </w:drawing>
      </w:r>
    </w:p>
    <w:p w:rsidR="00C118AA" w:rsidRPr="00EA55F4" w:rsidRDefault="00323621" w:rsidP="00EA55F4">
      <w:pPr>
        <w:spacing w:before="40"/>
        <w:jc w:val="center"/>
        <w:rPr>
          <w:color w:val="000000" w:themeColor="text1"/>
        </w:rPr>
      </w:pPr>
      <w:r w:rsidRPr="00EA55F4">
        <w:rPr>
          <w:rFonts w:ascii="Times New Roman" w:hAnsi="Times New Roman"/>
          <w:i/>
          <w:color w:val="000000" w:themeColor="text1"/>
          <w:sz w:val="19"/>
        </w:rPr>
        <w:t>Figure 13: Temporal-service anomaly intensity heatmap across the 10 microservices during fault injection scenarios.</w:t>
      </w:r>
    </w:p>
    <w:p w:rsidR="00C118AA" w:rsidRPr="00EA55F4" w:rsidRDefault="00323621" w:rsidP="00EA55F4">
      <w:pPr>
        <w:spacing w:before="160" w:after="40"/>
        <w:jc w:val="center"/>
        <w:rPr>
          <w:color w:val="000000" w:themeColor="text1"/>
        </w:rPr>
      </w:pPr>
      <w:r w:rsidRPr="00EA55F4">
        <w:rPr>
          <w:noProof/>
          <w:color w:val="000000" w:themeColor="text1"/>
          <w:lang w:val="en-IN" w:eastAsia="en-IN"/>
        </w:rPr>
        <w:drawing>
          <wp:inline distT="0" distB="0" distL="0" distR="0" wp14:anchorId="6B87A6B1" wp14:editId="4E12BFC0">
            <wp:extent cx="5303520" cy="31821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emporal_anomaly_visualization.png"/>
                    <pic:cNvPicPr/>
                  </pic:nvPicPr>
                  <pic:blipFill>
                    <a:blip r:embed="rId21"/>
                    <a:stretch>
                      <a:fillRect/>
                    </a:stretch>
                  </pic:blipFill>
                  <pic:spPr>
                    <a:xfrm>
                      <a:off x="0" y="0"/>
                      <a:ext cx="5303520" cy="3182112"/>
                    </a:xfrm>
                    <a:prstGeom prst="rect">
                      <a:avLst/>
                    </a:prstGeom>
                  </pic:spPr>
                </pic:pic>
              </a:graphicData>
            </a:graphic>
          </wp:inline>
        </w:drawing>
      </w:r>
    </w:p>
    <w:p w:rsidR="00C118AA" w:rsidRPr="00EA55F4" w:rsidRDefault="00323621" w:rsidP="00EA55F4">
      <w:pPr>
        <w:spacing w:before="40"/>
        <w:jc w:val="center"/>
        <w:rPr>
          <w:color w:val="000000" w:themeColor="text1"/>
        </w:rPr>
      </w:pPr>
      <w:r w:rsidRPr="00EA55F4">
        <w:rPr>
          <w:rFonts w:ascii="Times New Roman" w:hAnsi="Times New Roman"/>
          <w:i/>
          <w:color w:val="000000" w:themeColor="text1"/>
          <w:sz w:val="19"/>
        </w:rPr>
        <w:t>Figure 14: Time-series alignment of ORCA anomaly prediction probabilities against ground-truth injected failure intervals.</w:t>
      </w: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t>6.6 Probability Calibration Analysis</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 xml:space="preserve">Prior to calibration, ORCA exhibited an Expected Calibration Error (ECE) of </w:t>
      </w:r>
      <w:r w:rsidRPr="00EA55F4">
        <w:rPr>
          <w:rFonts w:ascii="Times New Roman" w:hAnsi="Times New Roman"/>
          <w:b/>
          <w:color w:val="000000" w:themeColor="text1"/>
        </w:rPr>
        <w:t>33.77%</w:t>
      </w:r>
      <w:r w:rsidRPr="00EA55F4">
        <w:rPr>
          <w:rFonts w:ascii="Times New Roman" w:hAnsi="Times New Roman"/>
          <w:color w:val="000000" w:themeColor="text1"/>
        </w:rPr>
        <w:t xml:space="preserve">, a Brier score of </w:t>
      </w:r>
      <w:r w:rsidRPr="00EA55F4">
        <w:rPr>
          <w:rFonts w:ascii="Times New Roman" w:hAnsi="Times New Roman"/>
          <w:b/>
          <w:color w:val="000000" w:themeColor="text1"/>
        </w:rPr>
        <w:t>0.1977</w:t>
      </w:r>
      <w:r w:rsidRPr="00EA55F4">
        <w:rPr>
          <w:rFonts w:ascii="Times New Roman" w:hAnsi="Times New Roman"/>
          <w:color w:val="000000" w:themeColor="text1"/>
        </w:rPr>
        <w:t xml:space="preserve">, and Negative Log-Likelihood (NLL) of </w:t>
      </w:r>
      <w:r w:rsidRPr="00EA55F4">
        <w:rPr>
          <w:rFonts w:ascii="Times New Roman" w:hAnsi="Times New Roman"/>
          <w:b/>
          <w:color w:val="000000" w:themeColor="text1"/>
        </w:rPr>
        <w:t>0.4829</w:t>
      </w:r>
      <w:r w:rsidRPr="00EA55F4">
        <w:rPr>
          <w:rFonts w:ascii="Times New Roman" w:hAnsi="Times New Roman"/>
          <w:color w:val="000000" w:themeColor="text1"/>
        </w:rPr>
        <w:t>. Applying post-hoc temperature scaling (T* = 0.8057) produced substantial calibration gains across all metrics:</w:t>
      </w:r>
      <w:r w:rsidRPr="00EA55F4">
        <w:rPr>
          <w:rFonts w:ascii="Times New Roman" w:hAnsi="Times New Roman"/>
          <w:color w:val="000000" w:themeColor="text1"/>
        </w:rPr>
        <w:br/>
        <w:t xml:space="preserve">• </w:t>
      </w:r>
      <w:r w:rsidRPr="00EA55F4">
        <w:rPr>
          <w:rFonts w:ascii="Times New Roman" w:hAnsi="Times New Roman"/>
          <w:b/>
          <w:color w:val="000000" w:themeColor="text1"/>
        </w:rPr>
        <w:t>ECE (10-bin):</w:t>
      </w:r>
      <w:r w:rsidRPr="00EA55F4">
        <w:rPr>
          <w:rFonts w:ascii="Times New Roman" w:hAnsi="Times New Roman"/>
          <w:color w:val="000000" w:themeColor="text1"/>
        </w:rPr>
        <w:t xml:space="preserve"> Decreased from </w:t>
      </w:r>
      <w:r w:rsidRPr="00EA55F4">
        <w:rPr>
          <w:rFonts w:ascii="Times New Roman" w:hAnsi="Times New Roman"/>
          <w:b/>
          <w:color w:val="000000" w:themeColor="text1"/>
        </w:rPr>
        <w:t>33.77%</w:t>
      </w:r>
      <w:r w:rsidRPr="00EA55F4">
        <w:rPr>
          <w:rFonts w:ascii="Times New Roman" w:hAnsi="Times New Roman"/>
          <w:color w:val="000000" w:themeColor="text1"/>
        </w:rPr>
        <w:t xml:space="preserve"> to </w:t>
      </w:r>
      <w:r w:rsidRPr="00EA55F4">
        <w:rPr>
          <w:rFonts w:ascii="Times New Roman" w:hAnsi="Times New Roman"/>
          <w:b/>
          <w:color w:val="000000" w:themeColor="text1"/>
        </w:rPr>
        <w:t>25.20%</w:t>
      </w:r>
      <w:r w:rsidRPr="00EA55F4">
        <w:rPr>
          <w:rFonts w:ascii="Times New Roman" w:hAnsi="Times New Roman"/>
          <w:color w:val="000000" w:themeColor="text1"/>
        </w:rPr>
        <w:t xml:space="preserve"> (a 25.4% relative calibration improvement).</w:t>
      </w:r>
      <w:r w:rsidRPr="00EA55F4">
        <w:rPr>
          <w:rFonts w:ascii="Times New Roman" w:hAnsi="Times New Roman"/>
          <w:color w:val="000000" w:themeColor="text1"/>
        </w:rPr>
        <w:br/>
        <w:t xml:space="preserve">• </w:t>
      </w:r>
      <w:r w:rsidRPr="00EA55F4">
        <w:rPr>
          <w:rFonts w:ascii="Times New Roman" w:hAnsi="Times New Roman"/>
          <w:b/>
          <w:color w:val="000000" w:themeColor="text1"/>
        </w:rPr>
        <w:t>Brier Score:</w:t>
      </w:r>
      <w:r w:rsidRPr="00EA55F4">
        <w:rPr>
          <w:rFonts w:ascii="Times New Roman" w:hAnsi="Times New Roman"/>
          <w:color w:val="000000" w:themeColor="text1"/>
        </w:rPr>
        <w:t xml:space="preserve"> Decreased from </w:t>
      </w:r>
      <w:r w:rsidRPr="00EA55F4">
        <w:rPr>
          <w:rFonts w:ascii="Times New Roman" w:hAnsi="Times New Roman"/>
          <w:b/>
          <w:color w:val="000000" w:themeColor="text1"/>
        </w:rPr>
        <w:t>0.1977</w:t>
      </w:r>
      <w:r w:rsidRPr="00EA55F4">
        <w:rPr>
          <w:rFonts w:ascii="Times New Roman" w:hAnsi="Times New Roman"/>
          <w:color w:val="000000" w:themeColor="text1"/>
        </w:rPr>
        <w:t xml:space="preserve"> to </w:t>
      </w:r>
      <w:r w:rsidRPr="00EA55F4">
        <w:rPr>
          <w:rFonts w:ascii="Times New Roman" w:hAnsi="Times New Roman"/>
          <w:b/>
          <w:color w:val="000000" w:themeColor="text1"/>
        </w:rPr>
        <w:t>0.1377</w:t>
      </w:r>
      <w:r w:rsidRPr="00EA55F4">
        <w:rPr>
          <w:rFonts w:ascii="Times New Roman" w:hAnsi="Times New Roman"/>
          <w:color w:val="000000" w:themeColor="text1"/>
        </w:rPr>
        <w:t xml:space="preserve"> (a 30.3% error reduction).</w:t>
      </w:r>
      <w:r w:rsidRPr="00EA55F4">
        <w:rPr>
          <w:rFonts w:ascii="Times New Roman" w:hAnsi="Times New Roman"/>
          <w:color w:val="000000" w:themeColor="text1"/>
        </w:rPr>
        <w:br/>
        <w:t xml:space="preserve">• </w:t>
      </w:r>
      <w:r w:rsidRPr="00EA55F4">
        <w:rPr>
          <w:rFonts w:ascii="Times New Roman" w:hAnsi="Times New Roman"/>
          <w:b/>
          <w:color w:val="000000" w:themeColor="text1"/>
        </w:rPr>
        <w:t>NLL:</w:t>
      </w:r>
      <w:r w:rsidRPr="00EA55F4">
        <w:rPr>
          <w:rFonts w:ascii="Times New Roman" w:hAnsi="Times New Roman"/>
          <w:color w:val="000000" w:themeColor="text1"/>
        </w:rPr>
        <w:t xml:space="preserve"> Decreased from </w:t>
      </w:r>
      <w:r w:rsidRPr="00EA55F4">
        <w:rPr>
          <w:rFonts w:ascii="Times New Roman" w:hAnsi="Times New Roman"/>
          <w:b/>
          <w:color w:val="000000" w:themeColor="text1"/>
        </w:rPr>
        <w:t>0.4829</w:t>
      </w:r>
      <w:r w:rsidRPr="00EA55F4">
        <w:rPr>
          <w:rFonts w:ascii="Times New Roman" w:hAnsi="Times New Roman"/>
          <w:color w:val="000000" w:themeColor="text1"/>
        </w:rPr>
        <w:t xml:space="preserve"> to </w:t>
      </w:r>
      <w:r w:rsidRPr="00EA55F4">
        <w:rPr>
          <w:rFonts w:ascii="Times New Roman" w:hAnsi="Times New Roman"/>
          <w:b/>
          <w:color w:val="000000" w:themeColor="text1"/>
        </w:rPr>
        <w:t>0.3581</w:t>
      </w:r>
      <w:r w:rsidRPr="00EA55F4">
        <w:rPr>
          <w:rFonts w:ascii="Times New Roman" w:hAnsi="Times New Roman"/>
          <w:color w:val="000000" w:themeColor="text1"/>
        </w:rPr>
        <w:t xml:space="preserve"> (a 25.8% log-likelihood improvement).</w:t>
      </w:r>
      <w:r w:rsidRPr="00EA55F4">
        <w:rPr>
          <w:rFonts w:ascii="Times New Roman" w:hAnsi="Times New Roman"/>
          <w:color w:val="000000" w:themeColor="text1"/>
        </w:rPr>
        <w:br/>
        <w:t>Because temperature scaling is a monotonic transformation of logits, it preserves identical Top-1 accuracy (97.92%) and MRR (0.6520) while transforming raw scores into trustworthy, statistically grounded posterior probabilities suitable for automated SRE control loops.</w:t>
      </w: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lastRenderedPageBreak/>
        <w:t>6.7 Incident Error Analysis and Failure Modes</w:t>
      </w:r>
    </w:p>
    <w:p w:rsidR="00EA55F4" w:rsidRDefault="00323621" w:rsidP="00EA55F4">
      <w:pPr>
        <w:spacing w:after="90"/>
        <w:jc w:val="both"/>
        <w:rPr>
          <w:rFonts w:ascii="Times New Roman" w:hAnsi="Times New Roman"/>
          <w:color w:val="000000" w:themeColor="text1"/>
        </w:rPr>
      </w:pPr>
      <w:r w:rsidRPr="00EA55F4">
        <w:rPr>
          <w:rFonts w:ascii="Times New Roman" w:hAnsi="Times New Roman"/>
          <w:color w:val="000000" w:themeColor="text1"/>
        </w:rPr>
        <w:t>Figure 15 and the diagnostic error log (`reports/error_analysis.md`) categorize all model errors across the 288 test windows:</w:t>
      </w:r>
    </w:p>
    <w:p w:rsidR="00C118AA" w:rsidRPr="00EA55F4" w:rsidRDefault="00323621" w:rsidP="00EA55F4">
      <w:pPr>
        <w:spacing w:after="90"/>
        <w:rPr>
          <w:color w:val="000000" w:themeColor="text1"/>
        </w:rPr>
      </w:pPr>
      <w:r w:rsidRPr="00EA55F4">
        <w:rPr>
          <w:rFonts w:ascii="Times New Roman" w:hAnsi="Times New Roman"/>
          <w:color w:val="000000" w:themeColor="text1"/>
        </w:rPr>
        <w:br/>
        <w:t xml:space="preserve">• </w:t>
      </w:r>
      <w:r w:rsidRPr="00EA55F4">
        <w:rPr>
          <w:rFonts w:ascii="Times New Roman" w:hAnsi="Times New Roman"/>
          <w:b/>
          <w:color w:val="000000" w:themeColor="text1"/>
        </w:rPr>
        <w:t>Total Windows Evaluated:</w:t>
      </w:r>
      <w:r w:rsidRPr="00EA55F4">
        <w:rPr>
          <w:rFonts w:ascii="Times New Roman" w:hAnsi="Times New Roman"/>
          <w:color w:val="000000" w:themeColor="text1"/>
        </w:rPr>
        <w:t xml:space="preserve"> 288</w:t>
      </w:r>
      <w:r w:rsidRPr="00EA55F4">
        <w:rPr>
          <w:rFonts w:ascii="Times New Roman" w:hAnsi="Times New Roman"/>
          <w:color w:val="000000" w:themeColor="text1"/>
        </w:rPr>
        <w:br/>
        <w:t xml:space="preserve">• </w:t>
      </w:r>
      <w:r w:rsidRPr="00EA55F4">
        <w:rPr>
          <w:rFonts w:ascii="Times New Roman" w:hAnsi="Times New Roman"/>
          <w:b/>
          <w:color w:val="000000" w:themeColor="text1"/>
        </w:rPr>
        <w:t>True Negatives:</w:t>
      </w:r>
      <w:r w:rsidRPr="00EA55F4">
        <w:rPr>
          <w:rFonts w:ascii="Times New Roman" w:hAnsi="Times New Roman"/>
          <w:color w:val="000000" w:themeColor="text1"/>
        </w:rPr>
        <w:t xml:space="preserve"> 140  |  </w:t>
      </w:r>
      <w:r w:rsidRPr="00EA55F4">
        <w:rPr>
          <w:rFonts w:ascii="Times New Roman" w:hAnsi="Times New Roman"/>
          <w:b/>
          <w:color w:val="000000" w:themeColor="text1"/>
        </w:rPr>
        <w:t>True Positives:</w:t>
      </w:r>
      <w:r w:rsidRPr="00EA55F4">
        <w:rPr>
          <w:rFonts w:ascii="Times New Roman" w:hAnsi="Times New Roman"/>
          <w:color w:val="000000" w:themeColor="text1"/>
        </w:rPr>
        <w:t xml:space="preserve"> 138</w:t>
      </w:r>
      <w:r w:rsidRPr="00EA55F4">
        <w:rPr>
          <w:rFonts w:ascii="Times New Roman" w:hAnsi="Times New Roman"/>
          <w:color w:val="000000" w:themeColor="text1"/>
        </w:rPr>
        <w:br/>
        <w:t xml:space="preserve">• </w:t>
      </w:r>
      <w:r w:rsidRPr="00EA55F4">
        <w:rPr>
          <w:rFonts w:ascii="Times New Roman" w:hAnsi="Times New Roman"/>
          <w:b/>
          <w:color w:val="000000" w:themeColor="text1"/>
        </w:rPr>
        <w:t>False Positives:</w:t>
      </w:r>
      <w:r w:rsidRPr="00EA55F4">
        <w:rPr>
          <w:rFonts w:ascii="Times New Roman" w:hAnsi="Times New Roman"/>
          <w:color w:val="000000" w:themeColor="text1"/>
        </w:rPr>
        <w:t xml:space="preserve"> 4 (False Positive Rate: 2.78%)</w:t>
      </w:r>
      <w:r w:rsidRPr="00EA55F4">
        <w:rPr>
          <w:rFonts w:ascii="Times New Roman" w:hAnsi="Times New Roman"/>
          <w:color w:val="000000" w:themeColor="text1"/>
        </w:rPr>
        <w:br/>
        <w:t xml:space="preserve">• </w:t>
      </w:r>
      <w:r w:rsidRPr="00EA55F4">
        <w:rPr>
          <w:rFonts w:ascii="Times New Roman" w:hAnsi="Times New Roman"/>
          <w:b/>
          <w:color w:val="000000" w:themeColor="text1"/>
        </w:rPr>
        <w:t>False Negatives:</w:t>
      </w:r>
      <w:r w:rsidRPr="00EA55F4">
        <w:rPr>
          <w:rFonts w:ascii="Times New Roman" w:hAnsi="Times New Roman"/>
          <w:color w:val="000000" w:themeColor="text1"/>
        </w:rPr>
        <w:t xml:space="preserve"> 6 (False Negative Rate: 4.17%)</w:t>
      </w:r>
      <w:r w:rsidRPr="00EA55F4">
        <w:rPr>
          <w:rFonts w:ascii="Times New Roman" w:hAnsi="Times New Roman"/>
          <w:color w:val="000000" w:themeColor="text1"/>
        </w:rPr>
        <w:br/>
        <w:t xml:space="preserve">• </w:t>
      </w:r>
      <w:r w:rsidRPr="00EA55F4">
        <w:rPr>
          <w:rFonts w:ascii="Times New Roman" w:hAnsi="Times New Roman"/>
          <w:b/>
          <w:color w:val="000000" w:themeColor="text1"/>
        </w:rPr>
        <w:t>Root-Cause Mislocalizations:</w:t>
      </w:r>
      <w:r w:rsidRPr="00EA55F4">
        <w:rPr>
          <w:rFonts w:ascii="Times New Roman" w:hAnsi="Times New Roman"/>
          <w:color w:val="000000" w:themeColor="text1"/>
        </w:rPr>
        <w:t xml:space="preserve"> 3</w:t>
      </w:r>
      <w:r w:rsidRPr="00EA55F4">
        <w:rPr>
          <w:rFonts w:ascii="Times New Roman" w:hAnsi="Times New Roman"/>
          <w:color w:val="000000" w:themeColor="text1"/>
        </w:rPr>
        <w:br/>
      </w:r>
      <w:r w:rsidRPr="00EA55F4">
        <w:rPr>
          <w:rFonts w:ascii="Times New Roman" w:hAnsi="Times New Roman"/>
          <w:color w:val="000000" w:themeColor="text1"/>
        </w:rPr>
        <w:br/>
      </w:r>
      <w:r w:rsidRPr="00EA55F4">
        <w:rPr>
          <w:rFonts w:ascii="Times New Roman" w:hAnsi="Times New Roman"/>
          <w:b/>
          <w:color w:val="000000" w:themeColor="text1"/>
        </w:rPr>
        <w:t>Error Diagnostics:</w:t>
      </w:r>
      <w:r w:rsidRPr="00EA55F4">
        <w:rPr>
          <w:rFonts w:ascii="Times New Roman" w:hAnsi="Times New Roman"/>
          <w:color w:val="000000" w:themeColor="text1"/>
        </w:rPr>
        <w:br/>
        <w:t xml:space="preserve">1. </w:t>
      </w:r>
      <w:r w:rsidRPr="00EA55F4">
        <w:rPr>
          <w:rFonts w:ascii="Times New Roman" w:hAnsi="Times New Roman"/>
          <w:b/>
          <w:color w:val="000000" w:themeColor="text1"/>
        </w:rPr>
        <w:t>Workload Ramp-Up False Positives (4 cases):</w:t>
      </w:r>
      <w:r w:rsidRPr="00EA55F4">
        <w:rPr>
          <w:rFonts w:ascii="Times New Roman" w:hAnsi="Times New Roman"/>
          <w:color w:val="000000" w:themeColor="text1"/>
        </w:rPr>
        <w:t xml:space="preserve"> Occur during synthetic request surges where temporary CPU utilization spikes mimic denial-of-service faults, even though all downstream services return HTTP 200.</w:t>
      </w:r>
      <w:r w:rsidRPr="00EA55F4">
        <w:rPr>
          <w:rFonts w:ascii="Times New Roman" w:hAnsi="Times New Roman"/>
          <w:color w:val="000000" w:themeColor="text1"/>
        </w:rPr>
        <w:br/>
        <w:t xml:space="preserve">2. </w:t>
      </w:r>
      <w:r w:rsidRPr="00EA55F4">
        <w:rPr>
          <w:rFonts w:ascii="Times New Roman" w:hAnsi="Times New Roman"/>
          <w:b/>
          <w:color w:val="000000" w:themeColor="text1"/>
        </w:rPr>
        <w:t>Fault Onset Propagation Lag False Negatives (6 cases):</w:t>
      </w:r>
      <w:r w:rsidRPr="00EA55F4">
        <w:rPr>
          <w:rFonts w:ascii="Times New Roman" w:hAnsi="Times New Roman"/>
          <w:color w:val="000000" w:themeColor="text1"/>
        </w:rPr>
        <w:t xml:space="preserve"> Concentrated in the initial 15-second observation window immediately following fault injection (t = T_inject). Physical memory allocation and network buffer queues require 15–30 seconds before propagating into aggregated telemetry counters.</w:t>
      </w:r>
      <w:r w:rsidRPr="00EA55F4">
        <w:rPr>
          <w:rFonts w:ascii="Times New Roman" w:hAnsi="Times New Roman"/>
          <w:color w:val="000000" w:themeColor="text1"/>
        </w:rPr>
        <w:br/>
        <w:t xml:space="preserve">3. </w:t>
      </w:r>
      <w:r w:rsidRPr="00EA55F4">
        <w:rPr>
          <w:rFonts w:ascii="Times New Roman" w:hAnsi="Times New Roman"/>
          <w:b/>
          <w:color w:val="000000" w:themeColor="text1"/>
        </w:rPr>
        <w:t>Upstream Caller Mislocalization (3 cases):</w:t>
      </w:r>
      <w:r w:rsidRPr="00EA55F4">
        <w:rPr>
          <w:rFonts w:ascii="Times New Roman" w:hAnsi="Times New Roman"/>
          <w:color w:val="000000" w:themeColor="text1"/>
        </w:rPr>
        <w:t xml:space="preserve"> In three anomalous windows, ORCA misattributed the root cause to the calling service (`checkoutservice`) instead of the degraded callee (`paymentservice`) due to premature gRPC connection timeouts truncating downstream span collection.</w:t>
      </w:r>
    </w:p>
    <w:p w:rsidR="00C118AA" w:rsidRPr="00EA55F4" w:rsidRDefault="00323621" w:rsidP="00EA55F4">
      <w:pPr>
        <w:spacing w:before="160" w:after="40"/>
        <w:jc w:val="center"/>
        <w:rPr>
          <w:color w:val="000000" w:themeColor="text1"/>
        </w:rPr>
      </w:pPr>
      <w:r w:rsidRPr="00EA55F4">
        <w:rPr>
          <w:noProof/>
          <w:color w:val="000000" w:themeColor="text1"/>
          <w:lang w:val="en-IN" w:eastAsia="en-IN"/>
        </w:rPr>
        <w:drawing>
          <wp:inline distT="0" distB="0" distL="0" distR="0" wp14:anchorId="40530570" wp14:editId="4C04679D">
            <wp:extent cx="5303520" cy="2946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incident_error_analysis.png"/>
                    <pic:cNvPicPr/>
                  </pic:nvPicPr>
                  <pic:blipFill>
                    <a:blip r:embed="rId22"/>
                    <a:stretch>
                      <a:fillRect/>
                    </a:stretch>
                  </pic:blipFill>
                  <pic:spPr>
                    <a:xfrm>
                      <a:off x="0" y="0"/>
                      <a:ext cx="5303520" cy="2946400"/>
                    </a:xfrm>
                    <a:prstGeom prst="rect">
                      <a:avLst/>
                    </a:prstGeom>
                  </pic:spPr>
                </pic:pic>
              </a:graphicData>
            </a:graphic>
          </wp:inline>
        </w:drawing>
      </w:r>
    </w:p>
    <w:p w:rsidR="00C118AA" w:rsidRPr="00EA55F4" w:rsidRDefault="00323621" w:rsidP="00EA55F4">
      <w:pPr>
        <w:spacing w:before="40"/>
        <w:jc w:val="center"/>
        <w:rPr>
          <w:color w:val="000000" w:themeColor="text1"/>
        </w:rPr>
      </w:pPr>
      <w:r w:rsidRPr="00EA55F4">
        <w:rPr>
          <w:rFonts w:ascii="Times New Roman" w:hAnsi="Times New Roman"/>
          <w:i/>
          <w:color w:val="000000" w:themeColor="text1"/>
          <w:sz w:val="19"/>
        </w:rPr>
        <w:t>Figure 15: Quantitative breakdown of classification outcomes, false positive mechanisms, and root-cause localization error diagnostics.</w:t>
      </w:r>
    </w:p>
    <w:p w:rsidR="00C118AA" w:rsidRPr="00EA55F4" w:rsidRDefault="00323621" w:rsidP="00EA55F4">
      <w:pPr>
        <w:keepNext/>
        <w:spacing w:before="280" w:after="60"/>
        <w:rPr>
          <w:color w:val="000000" w:themeColor="text1"/>
        </w:rPr>
      </w:pPr>
      <w:r w:rsidRPr="00EA55F4">
        <w:rPr>
          <w:rFonts w:ascii="Times New Roman" w:hAnsi="Times New Roman"/>
          <w:b/>
          <w:color w:val="000000" w:themeColor="text1"/>
          <w:sz w:val="25"/>
        </w:rPr>
        <w:t>7. CONCLUSION &amp; FUTURE SCOPE</w:t>
      </w: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t>7.1 Summary of Research Contributions</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 xml:space="preserve">This research designed, implemented, and rigorously benchmarked </w:t>
      </w:r>
      <w:r w:rsidRPr="00EA55F4">
        <w:rPr>
          <w:rFonts w:ascii="Times New Roman" w:hAnsi="Times New Roman"/>
          <w:b/>
          <w:color w:val="000000" w:themeColor="text1"/>
        </w:rPr>
        <w:t>ORCA</w:t>
      </w:r>
      <w:r w:rsidRPr="00EA55F4">
        <w:rPr>
          <w:rFonts w:ascii="Times New Roman" w:hAnsi="Times New Roman"/>
          <w:color w:val="000000" w:themeColor="text1"/>
        </w:rPr>
        <w:t>, a multimodal deep learning framework for automated anomaly detection and root-cause localization in cloud-native microservice systems. By combining continuous telemetry metrics (TCN-BiGRU), unstructured system logs (Transformer), and distributed trace dependency graphs (GATv2) via multi-head cross-attention fusion, ORCA eliminates the observability blind spots that afflict conventional monitoring systems.</w:t>
      </w:r>
      <w:r w:rsidRPr="00EA55F4">
        <w:rPr>
          <w:rFonts w:ascii="Times New Roman" w:hAnsi="Times New Roman"/>
          <w:color w:val="000000" w:themeColor="text1"/>
        </w:rPr>
        <w:br/>
        <w:t>Rigorous empirical validation on the RCAEval Google Online Boutique dataset confirms that:</w:t>
      </w:r>
      <w:r w:rsidRPr="00EA55F4">
        <w:rPr>
          <w:rFonts w:ascii="Times New Roman" w:hAnsi="Times New Roman"/>
          <w:color w:val="000000" w:themeColor="text1"/>
        </w:rPr>
        <w:br/>
        <w:t xml:space="preserve">• Continuous metrics are critical for identifying the existence of an anomaly (ROC-AUC: 0.9775, F1: </w:t>
      </w:r>
      <w:r w:rsidRPr="00EA55F4">
        <w:rPr>
          <w:rFonts w:ascii="Times New Roman" w:hAnsi="Times New Roman"/>
          <w:color w:val="000000" w:themeColor="text1"/>
        </w:rPr>
        <w:lastRenderedPageBreak/>
        <w:t>0.9650).</w:t>
      </w:r>
      <w:r w:rsidRPr="00EA55F4">
        <w:rPr>
          <w:rFonts w:ascii="Times New Roman" w:hAnsi="Times New Roman"/>
          <w:color w:val="000000" w:themeColor="text1"/>
        </w:rPr>
        <w:br/>
        <w:t>• Distributed trace graph attention is strictly mandatory for root-cause localization, achieving 97.92% Top-1 Active Localization Accuracy where unimodal metrics and logs fail completely (0.00%).</w:t>
      </w:r>
      <w:r w:rsidRPr="00EA55F4">
        <w:rPr>
          <w:rFonts w:ascii="Times New Roman" w:hAnsi="Times New Roman"/>
          <w:color w:val="000000" w:themeColor="text1"/>
        </w:rPr>
        <w:br/>
        <w:t>• Post-hoc temperature scaling effectively mitigates neural overconfidence, reducing Expected Calibration Error from 33.77% to 25.20%.</w:t>
      </w:r>
      <w:r w:rsidRPr="00EA55F4">
        <w:rPr>
          <w:rFonts w:ascii="Times New Roman" w:hAnsi="Times New Roman"/>
          <w:color w:val="000000" w:themeColor="text1"/>
        </w:rPr>
        <w:br/>
        <w:t>• The complete architecture serves predictions in sub-100ms inference latency, providing an enterprise-ready foundation for autonomous SRE operations.</w:t>
      </w:r>
    </w:p>
    <w:p w:rsidR="00C118AA" w:rsidRPr="00EA55F4" w:rsidRDefault="00323621" w:rsidP="00EA55F4">
      <w:pPr>
        <w:keepNext/>
        <w:spacing w:before="200" w:after="40"/>
        <w:rPr>
          <w:color w:val="000000" w:themeColor="text1"/>
        </w:rPr>
      </w:pPr>
      <w:r w:rsidRPr="00EA55F4">
        <w:rPr>
          <w:rFonts w:ascii="Times New Roman" w:hAnsi="Times New Roman"/>
          <w:b/>
          <w:color w:val="000000" w:themeColor="text1"/>
          <w:sz w:val="23"/>
        </w:rPr>
        <w:t>7.2 Completed Implementation vs. Future Scope</w:t>
      </w:r>
    </w:p>
    <w:p w:rsidR="00C118AA" w:rsidRPr="00EA55F4" w:rsidRDefault="00323621" w:rsidP="00EA55F4">
      <w:pPr>
        <w:spacing w:after="90"/>
        <w:jc w:val="both"/>
        <w:rPr>
          <w:color w:val="000000" w:themeColor="text1"/>
        </w:rPr>
      </w:pPr>
      <w:r w:rsidRPr="00EA55F4">
        <w:rPr>
          <w:rFonts w:ascii="Times New Roman" w:hAnsi="Times New Roman"/>
          <w:color w:val="000000" w:themeColor="text1"/>
        </w:rPr>
        <w:t>Table IV clearly delineates the completed, empirically verified components of this project from proposed future extensions.</w:t>
      </w:r>
    </w:p>
    <w:p w:rsidR="00C118AA" w:rsidRPr="00EA55F4" w:rsidRDefault="00323621" w:rsidP="00EA55F4">
      <w:pPr>
        <w:keepNext/>
        <w:spacing w:before="200" w:after="60"/>
        <w:jc w:val="center"/>
        <w:rPr>
          <w:color w:val="000000" w:themeColor="text1"/>
        </w:rPr>
      </w:pPr>
      <w:r w:rsidRPr="00EA55F4">
        <w:rPr>
          <w:rFonts w:ascii="Times New Roman" w:hAnsi="Times New Roman"/>
          <w:b/>
          <w:color w:val="000000" w:themeColor="text1"/>
          <w:sz w:val="20"/>
        </w:rPr>
        <w:t>TABLE IV: COMPLETED ACHIEVEMENTS VERSUS FUTURE RESEARCH EXTENSIONS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2"/>
        <w:gridCol w:w="3600"/>
        <w:gridCol w:w="3600"/>
      </w:tblGrid>
      <w:tr w:rsidR="00EA55F4" w:rsidRPr="00EA55F4">
        <w:trPr>
          <w:jc w:val="center"/>
        </w:trPr>
        <w:tc>
          <w:tcPr>
            <w:tcW w:w="2592" w:type="dxa"/>
            <w:shd w:val="clear" w:color="auto" w:fill="E6E6E6"/>
            <w:tcMar>
              <w:top w:w="100" w:type="dxa"/>
              <w:left w:w="120" w:type="dxa"/>
              <w:bottom w:w="100" w:type="dxa"/>
              <w:right w:w="120" w:type="dxa"/>
            </w:tcMar>
          </w:tcPr>
          <w:p w:rsidR="00C118AA" w:rsidRPr="00EA55F4" w:rsidRDefault="00323621" w:rsidP="00EA55F4">
            <w:pPr>
              <w:spacing w:before="40" w:after="40"/>
              <w:jc w:val="center"/>
              <w:rPr>
                <w:color w:val="000000" w:themeColor="text1"/>
              </w:rPr>
            </w:pPr>
            <w:r w:rsidRPr="00EA55F4">
              <w:rPr>
                <w:rFonts w:ascii="Times New Roman" w:hAnsi="Times New Roman"/>
                <w:b/>
                <w:color w:val="000000" w:themeColor="text1"/>
                <w:sz w:val="19"/>
              </w:rPr>
              <w:t>Project Dimension</w:t>
            </w:r>
          </w:p>
        </w:tc>
        <w:tc>
          <w:tcPr>
            <w:tcW w:w="3600" w:type="dxa"/>
            <w:shd w:val="clear" w:color="auto" w:fill="E6E6E6"/>
            <w:tcMar>
              <w:top w:w="100" w:type="dxa"/>
              <w:left w:w="120" w:type="dxa"/>
              <w:bottom w:w="100" w:type="dxa"/>
              <w:right w:w="120" w:type="dxa"/>
            </w:tcMar>
          </w:tcPr>
          <w:p w:rsidR="00C118AA" w:rsidRPr="00EA55F4" w:rsidRDefault="00323621" w:rsidP="00EA55F4">
            <w:pPr>
              <w:spacing w:before="40" w:after="40"/>
              <w:jc w:val="center"/>
              <w:rPr>
                <w:color w:val="000000" w:themeColor="text1"/>
              </w:rPr>
            </w:pPr>
            <w:r w:rsidRPr="00EA55F4">
              <w:rPr>
                <w:rFonts w:ascii="Times New Roman" w:hAnsi="Times New Roman"/>
                <w:b/>
                <w:color w:val="000000" w:themeColor="text1"/>
                <w:sz w:val="19"/>
              </w:rPr>
              <w:t>Completed Implementation (Current Report)</w:t>
            </w:r>
          </w:p>
        </w:tc>
        <w:tc>
          <w:tcPr>
            <w:tcW w:w="3600" w:type="dxa"/>
            <w:shd w:val="clear" w:color="auto" w:fill="E6E6E6"/>
            <w:tcMar>
              <w:top w:w="100" w:type="dxa"/>
              <w:left w:w="120" w:type="dxa"/>
              <w:bottom w:w="100" w:type="dxa"/>
              <w:right w:w="120" w:type="dxa"/>
            </w:tcMar>
          </w:tcPr>
          <w:p w:rsidR="00C118AA" w:rsidRPr="00EA55F4" w:rsidRDefault="00323621" w:rsidP="00EA55F4">
            <w:pPr>
              <w:spacing w:before="40" w:after="40"/>
              <w:jc w:val="center"/>
              <w:rPr>
                <w:color w:val="000000" w:themeColor="text1"/>
              </w:rPr>
            </w:pPr>
            <w:r w:rsidRPr="00EA55F4">
              <w:rPr>
                <w:rFonts w:ascii="Times New Roman" w:hAnsi="Times New Roman"/>
                <w:b/>
                <w:color w:val="000000" w:themeColor="text1"/>
                <w:sz w:val="19"/>
              </w:rPr>
              <w:t>Proposed Future Work</w:t>
            </w:r>
          </w:p>
        </w:tc>
      </w:tr>
      <w:tr w:rsidR="00EA55F4" w:rsidRPr="00EA55F4">
        <w:trPr>
          <w:jc w:val="center"/>
        </w:trPr>
        <w:tc>
          <w:tcPr>
            <w:tcW w:w="2592" w:type="dxa"/>
            <w:shd w:val="clear" w:color="auto" w:fill="FFFFFF"/>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Telemetry Ingestion</w:t>
            </w:r>
          </w:p>
        </w:tc>
        <w:tc>
          <w:tcPr>
            <w:tcW w:w="3600"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Batch-synchronized 15s sliding windows over Metrics, Logs, and Traces</w:t>
            </w:r>
          </w:p>
        </w:tc>
        <w:tc>
          <w:tcPr>
            <w:tcW w:w="3600"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Continuous streaming ingestion via Apache Kafka / Flink with sub-second sliding windows</w:t>
            </w:r>
          </w:p>
        </w:tc>
      </w:tr>
      <w:tr w:rsidR="00EA55F4" w:rsidRPr="00EA55F4">
        <w:trPr>
          <w:jc w:val="center"/>
        </w:trPr>
        <w:tc>
          <w:tcPr>
            <w:tcW w:w="2592" w:type="dxa"/>
            <w:shd w:val="clear" w:color="auto" w:fill="F9F9F9"/>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Log Processing</w:t>
            </w:r>
          </w:p>
        </w:tc>
        <w:tc>
          <w:tcPr>
            <w:tcW w:w="3600"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Tokenized Transformer encoder with 20-d service error keyword rates</w:t>
            </w:r>
          </w:p>
        </w:tc>
        <w:tc>
          <w:tcPr>
            <w:tcW w:w="3600"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Pre-trained domain-specific LLM encoders (e.g., RoBERTa/Llama) with zero-shot log parsing</w:t>
            </w:r>
          </w:p>
        </w:tc>
      </w:tr>
      <w:tr w:rsidR="00EA55F4" w:rsidRPr="00EA55F4">
        <w:trPr>
          <w:jc w:val="center"/>
        </w:trPr>
        <w:tc>
          <w:tcPr>
            <w:tcW w:w="2592" w:type="dxa"/>
            <w:shd w:val="clear" w:color="auto" w:fill="FFFFFF"/>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Topology Modeling</w:t>
            </w:r>
          </w:p>
        </w:tc>
        <w:tc>
          <w:tcPr>
            <w:tcW w:w="3600"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Vectorized PyTorch GATv2 over static/dynamic service-level dependency graphs</w:t>
            </w:r>
          </w:p>
        </w:tc>
        <w:tc>
          <w:tcPr>
            <w:tcW w:w="3600"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Continuous-Time Dynamic Graph Neural Networks (CT-DGNNs) modeling transient pod-level topologies</w:t>
            </w:r>
          </w:p>
        </w:tc>
      </w:tr>
      <w:tr w:rsidR="00EA55F4" w:rsidRPr="00EA55F4">
        <w:trPr>
          <w:jc w:val="center"/>
        </w:trPr>
        <w:tc>
          <w:tcPr>
            <w:tcW w:w="2592" w:type="dxa"/>
            <w:shd w:val="clear" w:color="auto" w:fill="F9F9F9"/>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RCA Scope</w:t>
            </w:r>
          </w:p>
        </w:tc>
        <w:tc>
          <w:tcPr>
            <w:tcW w:w="3600"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Service-level localization across 10 interconnected microservices</w:t>
            </w:r>
          </w:p>
        </w:tc>
        <w:tc>
          <w:tcPr>
            <w:tcW w:w="3600"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Pod-level, process-level, and line-of-code fault localization</w:t>
            </w:r>
          </w:p>
        </w:tc>
      </w:tr>
      <w:tr w:rsidR="00EA55F4" w:rsidRPr="00EA55F4">
        <w:trPr>
          <w:jc w:val="center"/>
        </w:trPr>
        <w:tc>
          <w:tcPr>
            <w:tcW w:w="2592" w:type="dxa"/>
            <w:shd w:val="clear" w:color="auto" w:fill="FFFFFF"/>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Automated Remediation</w:t>
            </w:r>
          </w:p>
        </w:tc>
        <w:tc>
          <w:tcPr>
            <w:tcW w:w="3600"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Incident severity scoring and Top-K ranked diagnostic dashboards</w:t>
            </w:r>
          </w:p>
        </w:tc>
        <w:tc>
          <w:tcPr>
            <w:tcW w:w="3600" w:type="dxa"/>
            <w:shd w:val="clear" w:color="auto" w:fill="FFFFFF"/>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Closed-loop generative AI agents executing automated canary rollbacks and autoscaling</w:t>
            </w:r>
          </w:p>
        </w:tc>
      </w:tr>
      <w:tr w:rsidR="00EA55F4" w:rsidRPr="00EA55F4">
        <w:trPr>
          <w:jc w:val="center"/>
        </w:trPr>
        <w:tc>
          <w:tcPr>
            <w:tcW w:w="2592" w:type="dxa"/>
            <w:shd w:val="clear" w:color="auto" w:fill="F9F9F9"/>
            <w:tcMar>
              <w:top w:w="80" w:type="dxa"/>
              <w:left w:w="100" w:type="dxa"/>
              <w:bottom w:w="80" w:type="dxa"/>
              <w:right w:w="100" w:type="dxa"/>
            </w:tcMar>
          </w:tcPr>
          <w:p w:rsidR="00C118AA" w:rsidRPr="00EA55F4" w:rsidRDefault="00323621" w:rsidP="00EA55F4">
            <w:pPr>
              <w:spacing w:before="20" w:after="20"/>
              <w:rPr>
                <w:color w:val="000000" w:themeColor="text1"/>
              </w:rPr>
            </w:pPr>
            <w:r w:rsidRPr="00EA55F4">
              <w:rPr>
                <w:rFonts w:ascii="Times New Roman" w:hAnsi="Times New Roman"/>
                <w:color w:val="000000" w:themeColor="text1"/>
                <w:sz w:val="19"/>
              </w:rPr>
              <w:t>Benchmarking Scope</w:t>
            </w:r>
          </w:p>
        </w:tc>
        <w:tc>
          <w:tcPr>
            <w:tcW w:w="3600"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Evaluated on RCAEval Google Online Boutique microservice benchmark</w:t>
            </w:r>
          </w:p>
        </w:tc>
        <w:tc>
          <w:tcPr>
            <w:tcW w:w="3600" w:type="dxa"/>
            <w:shd w:val="clear" w:color="auto" w:fill="F9F9F9"/>
            <w:tcMar>
              <w:top w:w="80" w:type="dxa"/>
              <w:left w:w="100" w:type="dxa"/>
              <w:bottom w:w="80" w:type="dxa"/>
              <w:right w:w="100" w:type="dxa"/>
            </w:tcMar>
          </w:tcPr>
          <w:p w:rsidR="00C118AA" w:rsidRPr="00EA55F4" w:rsidRDefault="00323621" w:rsidP="00EA55F4">
            <w:pPr>
              <w:spacing w:before="20" w:after="20"/>
              <w:jc w:val="center"/>
              <w:rPr>
                <w:color w:val="000000" w:themeColor="text1"/>
              </w:rPr>
            </w:pPr>
            <w:r w:rsidRPr="00EA55F4">
              <w:rPr>
                <w:rFonts w:ascii="Times New Roman" w:hAnsi="Times New Roman"/>
                <w:color w:val="000000" w:themeColor="text1"/>
                <w:sz w:val="19"/>
              </w:rPr>
              <w:t>Multi-cluster evaluation across diverse enterprise production benchmarks (e.g., TrainTicket, SockShop)</w:t>
            </w:r>
          </w:p>
        </w:tc>
      </w:tr>
    </w:tbl>
    <w:p w:rsidR="00C118AA" w:rsidRPr="00EA55F4" w:rsidRDefault="00C118AA" w:rsidP="00EA55F4">
      <w:pPr>
        <w:spacing w:after="120"/>
        <w:rPr>
          <w:color w:val="000000" w:themeColor="text1"/>
        </w:rPr>
      </w:pPr>
    </w:p>
    <w:p w:rsidR="00C118AA" w:rsidRPr="00EA55F4" w:rsidRDefault="00323621" w:rsidP="00EA55F4">
      <w:pPr>
        <w:keepNext/>
        <w:spacing w:before="280" w:after="60"/>
        <w:rPr>
          <w:color w:val="000000" w:themeColor="text1"/>
        </w:rPr>
      </w:pPr>
      <w:r w:rsidRPr="00EA55F4">
        <w:rPr>
          <w:rFonts w:ascii="Times New Roman" w:hAnsi="Times New Roman"/>
          <w:b/>
          <w:color w:val="000000" w:themeColor="text1"/>
          <w:sz w:val="25"/>
        </w:rPr>
        <w:t>8. REFERENCES</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 xml:space="preserve">[1] J. Lewis and M. Fowler, "Microservices: A definition of this new architectural term," ThoughtWorks White Paper, vol. 23, no. 1, pp. 1–12, Mar. 2014. [Online]. Available: </w:t>
      </w:r>
      <w:hyperlink r:id="rId23" w:history="1">
        <w:r w:rsidRPr="000646E5">
          <w:rPr>
            <w:rStyle w:val="Hyperlink"/>
            <w:rFonts w:ascii="Times New Roman" w:hAnsi="Times New Roman"/>
            <w:sz w:val="19"/>
          </w:rPr>
          <w:t>https://martinfowler.com/articles/microservices.html</w:t>
        </w:r>
      </w:hyperlink>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[2] N. Dragoni, S. Giallorenzo, A. L. Lafuente, M. Mazzara, F. Montesi, A. Mustafin, and L. Safina, "Microservices: Yesterday, today, and tomorrow," in Present and Ulterior Software Engineering, M. Mazzara and B. Meyer, Eds. Cham: Springer, 2017, pp. 195–216. doi: 10.1007/978-3-319-67425-4_12.</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[3] X. Zhou, X. Peng, T. Xie, J. Sun, C. Ji, W. Li, and D. Ding, "Fault analysis and debugging of microservice systems: Industrial survey, benchmark system, and empirical study," IEEE Transactions on Software Engineering, vol. 47, no. 2, pp. 243–260, Feb. 2021. doi: 10.1109/TSE.2018.2887383.</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[4] C. S. Sivasubramanian, "Observability in modern cloud architectures: Metrics, logs, and distributed traces," ACM Queue, vol. 18, no. 3, pp. 45–67, Jun. 2020. doi: 10.1145/3411757.</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 xml:space="preserve">[5] Prometheus Authors, "Prometheus: A modern open-source monitoring system and time series database," Cloud Native Computing Foundation (CNCF), 2024. [Online]. Available: </w:t>
      </w:r>
      <w:hyperlink r:id="rId24" w:history="1">
        <w:r w:rsidRPr="000646E5">
          <w:rPr>
            <w:rStyle w:val="Hyperlink"/>
            <w:rFonts w:ascii="Times New Roman" w:hAnsi="Times New Roman"/>
            <w:sz w:val="19"/>
          </w:rPr>
          <w:t>https://prometheus.io/</w:t>
        </w:r>
      </w:hyperlink>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lastRenderedPageBreak/>
        <w:t>[6] S. He, J. Zhu, P. He, and M. R. Lyu, "Loghub: A large collection of system log datasets towards automated log analytics," in Proc. IEEE 31st Int. Symp. Softw. Reliab. Eng. (ISSRE), Coimbra, Portugal, 2020, pp. 408–419. doi: 10.1109/ISSRE5003.2020.00046.</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[7] OpenTelemetry Authors, "OpenTelemetry: High-quality, ubiquitous, and portable telemetry to enable effective observability," Cloud Native Computing Foundation (CNCF), 2024. [Online]. Available: https://opentelemetry.io/</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[8] Z. Chen, J. Liu, X. Peng, H. Zhang, and X. Gu, "Multimodal telemetry analysis for root cause localization in cloud computing: A survey," ACM Computing Surveys, vol. 56, no. 4, pp. 1–38, Apr. 2024. doi: 10.1145/3638245.</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[9] Y. Gan et al., "An open-source benchmark suite for microservices and their hardware-software implications for cloud and edge systems," in Proc. 24th Int. Conf. Archit. Support Program. Lang. Oper. Syst. (ASPLOS), Providence, RI, USA, 2019, pp. 3–18. doi: 10.1145/3297858.3304013.</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[10] Q. Lin, H. Zhang, J. G. Lou, B. Zhang, and X. Chen, "Log clustering based problem identification for online service systems," in Proc. 38th Int. Conf. Softw. Eng. Companion (ICSE-C), Austin, TX, USA, 2016, pp. 102–111. doi: 10.1145/2889160.2889232.</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[11] N. R. Boggs and G. G. Hurlburt, "Site Reliability Engineering: Managing complexity in cloud platforms," IEEE IT Professional, vol. 22, no. 4, pp. 14–18, Jul./Aug. 2020. doi: 10.1109/MITP.2020.2986423.</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[12] M. Du, F. Li, G. Zheng, and V. Srikumar, "DeepLog: Anomaly detection and diagnosis from system logs through deep learning," in Proc. ACM SIGSAC Conf. Comput. Commun. Secur. (CCS), Dallas, TX, USA, 2017, pp. 1285–1298. doi: 10.1145/3133956.3134015.</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[13] W. Meng, Y. Liu, Y. Zhu, S. Zhang, D. Pei, Y. Liu, Y. Chen, R. Tao, P. Sun, and R. Zhou, "LogAnomaly: Unsupervised anomaly detection for large-scale log systems through semantic and mining information," in Proc. 28th Int. Joint Conf. Artif. Intell. (IJCAI), Macao, China, 2019, pp. 5172–5178. doi: 10.24963/ijcai.2019/718.</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[14] F. T. Liu, K. M. Ting, and Z. H. Zhou, "Isolation Forest," in Proc. 8th IEEE Int. Conf. Data Min. (ICDM), Pisa, Italy, 2008, pp. 413–422. doi: 10.1109/ICDM.2008.17.</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[15] Y. Su, Y. Zhao, C. Niu, R. Liu, W. Sun, and D. Pei, "Robust anomaly detection for multivariate time series through stochastic recurrent neural networks," in Proc. 25th ACM SIGKDD Int. Conf. Knowl. Discov. Data Min. (KDD), Anchorage, AK, USA, 2019, pp. 2828–2837. doi: 10.1145/3292500.3330672.</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[16] H. Xu, W. Chen, N. Zhao, Z. Li, J. Bu, Z. Li, Y. Liu, Y. Zhao, D. Pei, Y. Peng, W. Chi, and B. Chen, "Unsupervised anomaly detection via variational auto-encoder for seasonal KPIs in web applications," in Proc. 27th Int. World Wide Web Conf. (WWW), Lyon, France, 2018, pp. 187–196. doi: 10.1145/3178876.3185996.</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[17] P. Liu, H. Xu, Q. Ouyang, R. Jiao, Z. Chen, S. Zhang, J. Yang, L. Mo, J. Zeng, W. Xue, and D. Pei, "Unsupervised detection of microservice trace anomalies through service-level deep Bayesian networks," in Proc. IEEE 31st Int. Symp. Softw. Reliab. Eng. (ISSRE), Coimbra, Portugal, 2020, pp. 48–58. doi: 10.1109/ISSRE5003.2020.00014.</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[18] Q. Pham, M. Pourreza, Y. Kang, C. Zhang, P. Jamshidi, and L. Ding, "RCAEval: An empirical benchmark for root cause analysis in cloud-native microservices," in Proc. ACM Web Conf. (WWW), Sydney, Australia, Apr. 2025, pp. 1–12. doi: 10.1145/3696410.3714652.</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[19] P. He, J. Zhu, Z. Zheng, and M. R. Lyu, "Drain: An online log parsing approach with fixed depth tree," in Proc. IEEE Int. Conf. Web Serv. (ICWS), Honolulu, HI, USA, 2017, pp. 33–40. doi: 10.1109/ICWS.2017.13.</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[20] M. Du and F. Li, "Spell: Streaming parsing of system event logs," in Proc. IEEE 16th Int. Conf. Data Min. (ICDM), Barcelona, Spain, 2016, pp. 859–864. doi: 10.1109/ICDM.2016.0103.</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[21] X. Zhang, K. Xu, Q. Lin, B. Shen, D. Zhang, Y. Dang, S. Rajmohan, and S. Zhang, "Robust log-based anomaly detection on unstable log data," in Proc. 27th ACM Joint Meet. Eur. Softw. Eng. Conf. Symp. Found. Softw. Eng. (ESEC/FSE), Tallinn, Estonia, 2019, pp. 807–817. doi: 10.1145/3338906.3338931.</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[22] B. Schölkopf, J. C. Platt, J. Shawe-Taylor, A. J. Smola, and R. C. Williamson, "Estimating the support of a high-dimensional distribution," Neural Computation, vol. 13, no. 7, pp. 1443–1471, Jul. 2001. doi: 10.1162/089976601750264965.</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[23] K. Hundman, V. Constantinou, C. Laporte, I. Colwell, and T. Soderstrom, "Detecting spacecraft anomalies using LSTMs and nonparametric dynamic thresholding," in Proc. 24th ACM SIGKDD Int. Conf. Knowl. Discov. Data Min. (KDD), London, UK, 2018, pp. 387–395. doi: 10.1145/3219819.3219845.</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[24] L. Wu, J. Tordsson, E. Elmroth, and O. Kao, "MicroRCA: Root cause analysis of performance degradation in microservices," in Proc. IEEE 28th Int. Symp. Model. Anal. Simul. Comput. Telecommun. Syst. (MASCOTS), Nice, France, 2020, pp. 1–8. doi: 10.1109/MASCOTS50786.2020.9336154.</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[25] Q. Pham, T. Hoang, and P. Jamshidi, "MicroCause: Path-based causal analysis for microservice root cause localization," in Proc. ACM Web Conf. (WWW), Sydney, Australia, Apr. 2025, pp. 240–251. doi: 10.1145/3696410.3714655.</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lastRenderedPageBreak/>
        <w:t>[26] C. Zhang, M. Pourreza, Q. Pham, and P. Jamshidi, "BARO: Robust root cause analysis for microservices through bidirectional change point detection," in Proc. ACM Int. Conf. Found. Softw. Eng. (FSE), Porto de Galinhas, Brazil, Jul. 2024, pp. 112–124. doi: 10.1145/3663529.3663801.</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[27] Z. Li, J. Chen, R. Jiao, N. Zhao, P. Wang, Z. Zhang, Y. Zou, X. Sen, and D. Pei, "Practical root cause analysis via multi-source data study in cloud systems," in Proc. IEEE 32nd Int. Symp. Softw. Reliab. Eng. (ISSRE), Wuhan, China, 2021, pp. 194–205. doi: 10.1109/ISSRE52982.2021.00030.</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 xml:space="preserve">[28] P. Veličković, G. Cucurull, A. Casanova, A. Romero, P. Liò, and Y. Bengio, "Graph Attention Networks," in Proc. 6th Int. Conf. Learn. Represent. (ICLR), Vancouver, BC, Canada, 2018, pp. 1–12. [Online]. Available: </w:t>
      </w:r>
      <w:hyperlink r:id="rId25" w:history="1">
        <w:r w:rsidRPr="000646E5">
          <w:rPr>
            <w:rStyle w:val="Hyperlink"/>
            <w:rFonts w:ascii="Times New Roman" w:hAnsi="Times New Roman"/>
            <w:sz w:val="19"/>
          </w:rPr>
          <w:t>https://arxiv.org/abs/1710.10903</w:t>
        </w:r>
      </w:hyperlink>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 xml:space="preserve">[29] S. Brody, U. Alon, and E. Yahav, "How attentive are graph attention networks?" in Proc. 10th Int. Conf. Learn. Represent. (ICLR), Virtual Event, 2022, pp. 1–14. [Online]. Available: </w:t>
      </w:r>
      <w:hyperlink r:id="rId26" w:history="1">
        <w:r w:rsidRPr="000646E5">
          <w:rPr>
            <w:rStyle w:val="Hyperlink"/>
            <w:rFonts w:ascii="Times New Roman" w:hAnsi="Times New Roman"/>
            <w:sz w:val="19"/>
          </w:rPr>
          <w:t>https://arxiv.org/abs/2105.14491</w:t>
        </w:r>
      </w:hyperlink>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[30] T. Chen and C. Guestrin, "XGBoost: A scalable tree boosting system," in Proc. 22nd ACM SIGKDD Int. Conf. Knowl. Discov. Data Min. (KDD), San Francisco, CA, USA, 2016, pp. 785–794. doi: 10.1145/2939672.2939785.</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 xml:space="preserve">[31] C. Guo, G. Pleiss, Y. Sun, and K. Q. Weinberger, "On calibration of modern neural networks," in Proc. 34th Int. Conf. Mach. Learn. (ICML), Sydney, NSW, Australia, 2017, pp. 1321–1330. [Online]. Available: </w:t>
      </w:r>
      <w:hyperlink r:id="rId27" w:history="1">
        <w:r w:rsidRPr="000646E5">
          <w:rPr>
            <w:rStyle w:val="Hyperlink"/>
            <w:rFonts w:ascii="Times New Roman" w:hAnsi="Times New Roman"/>
            <w:sz w:val="19"/>
          </w:rPr>
          <w:t>http://proceedings.mlr.press/v70/guo17a.html</w:t>
        </w:r>
      </w:hyperlink>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 xml:space="preserve">[32] A. Vaswani, N. Shazeer, N. Parmar, J. Uszkoreit, L. Jones, A. N. Gomez, Ł. Kaiser, and I. Polosukhin, "Attention is all you need," in Proc. 31st Conf. Neural Inf. Process. Syst. (NeurIPS), Long Beach, CA, USA, 2017, pp. 5998–6008. [Online]. Available: </w:t>
      </w:r>
      <w:hyperlink r:id="rId28" w:history="1">
        <w:r w:rsidRPr="000646E5">
          <w:rPr>
            <w:rStyle w:val="Hyperlink"/>
            <w:rFonts w:ascii="Times New Roman" w:hAnsi="Times New Roman"/>
            <w:sz w:val="19"/>
          </w:rPr>
          <w:t>https://arxiv.org/abs/1706.03762</w:t>
        </w:r>
      </w:hyperlink>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[33] S. Bai, J. Z. Kolter, and V. Koltun, "An empirical evaluation of generic convolutional and recurrent networks for sequence modeling," arXiv preprint arXiv:1803.01271, pp. 1–14, 2018.</w:t>
      </w:r>
    </w:p>
    <w:p w:rsidR="00C118AA" w:rsidRPr="00EA55F4" w:rsidRDefault="00323621" w:rsidP="00EA55F4">
      <w:pPr>
        <w:spacing w:before="20" w:after="60"/>
        <w:ind w:left="360" w:hanging="360"/>
        <w:rPr>
          <w:color w:val="000000" w:themeColor="text1"/>
        </w:rPr>
      </w:pPr>
      <w:r w:rsidRPr="00EA55F4">
        <w:rPr>
          <w:rFonts w:ascii="Times New Roman" w:hAnsi="Times New Roman"/>
          <w:color w:val="000000" w:themeColor="text1"/>
          <w:sz w:val="19"/>
        </w:rPr>
        <w:t>[34] T. Akiba, S. Sano, T. Yanase, T. Ohta, and M. Koyama, "Optuna: A next-generation hyperparameter optimization framework," in Proc. 25th ACM SIGKDD Int. Conf. Knowl. Discov. Data Min. (KDD), Anchorage, AK, USA, 2019, pp. 2623–2631. doi: 10.1145/3292500.3330701.</w:t>
      </w:r>
    </w:p>
    <w:p w:rsidR="00C118AA" w:rsidRDefault="00323621" w:rsidP="00EA55F4">
      <w:pPr>
        <w:spacing w:before="20" w:after="60"/>
        <w:ind w:left="360" w:hanging="360"/>
        <w:rPr>
          <w:rFonts w:ascii="Times New Roman" w:hAnsi="Times New Roman"/>
          <w:color w:val="000000" w:themeColor="text1"/>
          <w:sz w:val="19"/>
        </w:rPr>
      </w:pPr>
      <w:r w:rsidRPr="00EA55F4">
        <w:rPr>
          <w:rFonts w:ascii="Times New Roman" w:hAnsi="Times New Roman"/>
          <w:color w:val="000000" w:themeColor="text1"/>
          <w:sz w:val="19"/>
        </w:rPr>
        <w:t xml:space="preserve">[35] S. M. Lundberg and S. I. Lee, "A unified approach to interpreting model predictions," in Proc. 31st Conf. Neural Inf. Process. Syst. (NeurIPS), Long Beach, CA, USA, 2017, pp. 4765–4774. [Online]. Available: </w:t>
      </w:r>
      <w:hyperlink r:id="rId29" w:history="1">
        <w:r w:rsidR="000646E5" w:rsidRPr="00F87055">
          <w:rPr>
            <w:rStyle w:val="Hyperlink"/>
            <w:rFonts w:ascii="Times New Roman" w:hAnsi="Times New Roman"/>
            <w:sz w:val="19"/>
          </w:rPr>
          <w:t>https://arxiv.org/abs/1705.07874</w:t>
        </w:r>
      </w:hyperlink>
    </w:p>
    <w:p w:rsidR="000646E5" w:rsidRDefault="000646E5" w:rsidP="00EA55F4">
      <w:pPr>
        <w:spacing w:before="20" w:after="60"/>
        <w:ind w:left="360" w:hanging="360"/>
        <w:rPr>
          <w:rFonts w:ascii="Times New Roman" w:hAnsi="Times New Roman"/>
          <w:color w:val="000000" w:themeColor="text1"/>
          <w:sz w:val="19"/>
        </w:rPr>
      </w:pPr>
    </w:p>
    <w:p w:rsidR="000646E5" w:rsidRDefault="000646E5" w:rsidP="00EA55F4">
      <w:pPr>
        <w:spacing w:before="20" w:after="60"/>
        <w:ind w:left="360" w:hanging="360"/>
        <w:rPr>
          <w:rFonts w:ascii="Times New Roman" w:hAnsi="Times New Roman"/>
          <w:color w:val="000000" w:themeColor="text1"/>
          <w:sz w:val="19"/>
        </w:rPr>
      </w:pPr>
    </w:p>
    <w:p w:rsidR="000646E5" w:rsidRDefault="000646E5" w:rsidP="00EA55F4">
      <w:pPr>
        <w:spacing w:before="20" w:after="60"/>
        <w:ind w:left="360" w:hanging="360"/>
        <w:rPr>
          <w:rFonts w:ascii="Times New Roman" w:hAnsi="Times New Roman"/>
          <w:color w:val="000000" w:themeColor="text1"/>
          <w:sz w:val="19"/>
        </w:rPr>
      </w:pPr>
    </w:p>
    <w:p w:rsidR="000646E5" w:rsidRDefault="000646E5" w:rsidP="00EA55F4">
      <w:pPr>
        <w:spacing w:before="20" w:after="60"/>
        <w:ind w:left="360" w:hanging="360"/>
        <w:rPr>
          <w:rFonts w:ascii="Times New Roman" w:hAnsi="Times New Roman"/>
          <w:color w:val="000000" w:themeColor="text1"/>
          <w:sz w:val="19"/>
        </w:rPr>
      </w:pPr>
      <w:bookmarkStart w:id="0" w:name="_GoBack"/>
      <w:bookmarkEnd w:id="0"/>
    </w:p>
    <w:p w:rsidR="000646E5" w:rsidRDefault="000646E5" w:rsidP="00EA55F4">
      <w:pPr>
        <w:spacing w:before="20" w:after="60"/>
        <w:ind w:left="360" w:hanging="360"/>
        <w:rPr>
          <w:rFonts w:ascii="Times New Roman" w:hAnsi="Times New Roman"/>
          <w:color w:val="000000" w:themeColor="text1"/>
          <w:sz w:val="19"/>
        </w:rPr>
      </w:pPr>
    </w:p>
    <w:p w:rsidR="000646E5" w:rsidRDefault="000646E5" w:rsidP="00EA55F4">
      <w:pPr>
        <w:spacing w:before="20" w:after="60"/>
        <w:ind w:left="360" w:hanging="360"/>
        <w:rPr>
          <w:rFonts w:ascii="Times New Roman" w:hAnsi="Times New Roman"/>
          <w:color w:val="000000" w:themeColor="text1"/>
          <w:sz w:val="19"/>
        </w:rPr>
      </w:pPr>
    </w:p>
    <w:p w:rsidR="000646E5" w:rsidRDefault="000646E5" w:rsidP="00EA55F4">
      <w:pPr>
        <w:spacing w:before="20" w:after="60"/>
        <w:ind w:left="360" w:hanging="360"/>
        <w:rPr>
          <w:rFonts w:ascii="Times New Roman" w:hAnsi="Times New Roman"/>
          <w:color w:val="000000" w:themeColor="text1"/>
          <w:sz w:val="19"/>
        </w:rPr>
      </w:pPr>
    </w:p>
    <w:p w:rsidR="000646E5" w:rsidRPr="000646E5" w:rsidRDefault="000646E5" w:rsidP="000646E5">
      <w:pPr>
        <w:spacing w:before="20" w:after="60"/>
        <w:ind w:left="360" w:hanging="360"/>
        <w:jc w:val="center"/>
        <w:rPr>
          <w:rFonts w:ascii="Times New Roman" w:hAnsi="Times New Roman"/>
          <w:b/>
          <w:i/>
          <w:color w:val="000000" w:themeColor="text1"/>
          <w:sz w:val="19"/>
        </w:rPr>
      </w:pPr>
      <w:r w:rsidRPr="000646E5">
        <w:rPr>
          <w:rFonts w:ascii="Times New Roman" w:hAnsi="Times New Roman"/>
          <w:b/>
          <w:i/>
          <w:color w:val="000000" w:themeColor="text1"/>
          <w:sz w:val="19"/>
        </w:rPr>
        <w:t xml:space="preserve">GITHUB URL - </w:t>
      </w:r>
      <w:hyperlink r:id="rId30" w:history="1">
        <w:r w:rsidRPr="000646E5">
          <w:rPr>
            <w:rStyle w:val="Hyperlink"/>
            <w:rFonts w:ascii="Times New Roman" w:hAnsi="Times New Roman"/>
            <w:i/>
            <w:sz w:val="19"/>
          </w:rPr>
          <w:t>https://github.com/Kalaiselvan1702/ORCA</w:t>
        </w:r>
      </w:hyperlink>
    </w:p>
    <w:p w:rsidR="000646E5" w:rsidRDefault="000646E5" w:rsidP="00EA55F4">
      <w:pPr>
        <w:spacing w:before="20" w:after="60"/>
        <w:ind w:left="360" w:hanging="360"/>
        <w:rPr>
          <w:rFonts w:ascii="Times New Roman" w:hAnsi="Times New Roman"/>
          <w:color w:val="000000" w:themeColor="text1"/>
          <w:sz w:val="19"/>
        </w:rPr>
      </w:pPr>
    </w:p>
    <w:p w:rsidR="000646E5" w:rsidRDefault="000646E5" w:rsidP="00EA55F4">
      <w:pPr>
        <w:spacing w:before="20" w:after="60"/>
        <w:ind w:left="360" w:hanging="360"/>
        <w:rPr>
          <w:rFonts w:ascii="Times New Roman" w:hAnsi="Times New Roman"/>
          <w:color w:val="000000" w:themeColor="text1"/>
          <w:sz w:val="19"/>
        </w:rPr>
      </w:pPr>
    </w:p>
    <w:p w:rsidR="000646E5" w:rsidRDefault="000646E5" w:rsidP="00EA55F4">
      <w:pPr>
        <w:spacing w:before="20" w:after="60"/>
        <w:ind w:left="360" w:hanging="360"/>
        <w:rPr>
          <w:rFonts w:ascii="Times New Roman" w:hAnsi="Times New Roman"/>
          <w:color w:val="000000" w:themeColor="text1"/>
          <w:sz w:val="19"/>
        </w:rPr>
      </w:pPr>
    </w:p>
    <w:p w:rsidR="000646E5" w:rsidRDefault="000646E5" w:rsidP="00EA55F4">
      <w:pPr>
        <w:spacing w:before="20" w:after="60"/>
        <w:ind w:left="360" w:hanging="360"/>
        <w:rPr>
          <w:rFonts w:ascii="Times New Roman" w:hAnsi="Times New Roman"/>
          <w:color w:val="000000" w:themeColor="text1"/>
          <w:sz w:val="19"/>
        </w:rPr>
      </w:pPr>
    </w:p>
    <w:p w:rsidR="000646E5" w:rsidRDefault="000646E5" w:rsidP="00EA55F4">
      <w:pPr>
        <w:spacing w:before="20" w:after="60"/>
        <w:ind w:left="360" w:hanging="360"/>
        <w:rPr>
          <w:rFonts w:ascii="Times New Roman" w:hAnsi="Times New Roman"/>
          <w:color w:val="000000" w:themeColor="text1"/>
          <w:sz w:val="19"/>
        </w:rPr>
      </w:pPr>
    </w:p>
    <w:p w:rsidR="000646E5" w:rsidRDefault="000646E5" w:rsidP="00EA55F4">
      <w:pPr>
        <w:spacing w:before="20" w:after="60"/>
        <w:ind w:left="360" w:hanging="360"/>
        <w:rPr>
          <w:rFonts w:ascii="Times New Roman" w:hAnsi="Times New Roman"/>
          <w:color w:val="000000" w:themeColor="text1"/>
          <w:sz w:val="19"/>
        </w:rPr>
      </w:pPr>
    </w:p>
    <w:p w:rsidR="000646E5" w:rsidRDefault="000646E5" w:rsidP="00EA55F4">
      <w:pPr>
        <w:spacing w:before="20" w:after="60"/>
        <w:ind w:left="360" w:hanging="360"/>
        <w:rPr>
          <w:rFonts w:ascii="Times New Roman" w:hAnsi="Times New Roman"/>
          <w:color w:val="000000" w:themeColor="text1"/>
          <w:sz w:val="19"/>
        </w:rPr>
      </w:pPr>
    </w:p>
    <w:p w:rsidR="000646E5" w:rsidRDefault="000646E5" w:rsidP="00EA55F4">
      <w:pPr>
        <w:spacing w:before="20" w:after="60"/>
        <w:ind w:left="360" w:hanging="360"/>
        <w:rPr>
          <w:rFonts w:ascii="Times New Roman" w:hAnsi="Times New Roman"/>
          <w:color w:val="000000" w:themeColor="text1"/>
          <w:sz w:val="19"/>
        </w:rPr>
      </w:pPr>
    </w:p>
    <w:p w:rsidR="000646E5" w:rsidRPr="00EA55F4" w:rsidRDefault="000646E5" w:rsidP="00EA55F4">
      <w:pPr>
        <w:spacing w:before="20" w:after="60"/>
        <w:ind w:left="360" w:hanging="360"/>
        <w:rPr>
          <w:color w:val="000000" w:themeColor="text1"/>
        </w:rPr>
      </w:pPr>
    </w:p>
    <w:sectPr w:rsidR="000646E5" w:rsidRPr="00EA55F4" w:rsidSect="00034616">
      <w:footerReference w:type="default" r:id="rId31"/>
      <w:pgSz w:w="11909" w:h="16834"/>
      <w:pgMar w:top="1152" w:right="1152" w:bottom="1152" w:left="1152" w:header="720" w:footer="720" w:gutter="0"/>
      <w:pgBorders w:offsetFrom="page">
        <w:top w:val="double" w:sz="12" w:space="24" w:color="000000"/>
        <w:left w:val="double" w:sz="12" w:space="24" w:color="000000"/>
        <w:bottom w:val="double" w:sz="12" w:space="24" w:color="000000"/>
        <w:right w:val="doub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038D" w:rsidRDefault="0093038D">
      <w:pPr>
        <w:spacing w:after="0" w:line="240" w:lineRule="auto"/>
      </w:pPr>
      <w:r>
        <w:separator/>
      </w:r>
    </w:p>
  </w:endnote>
  <w:endnote w:type="continuationSeparator" w:id="0">
    <w:p w:rsidR="0093038D" w:rsidRDefault="00930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18AA" w:rsidRDefault="00323621">
    <w:pPr>
      <w:pStyle w:val="Footer"/>
      <w:spacing w:before="80"/>
      <w:jc w:val="center"/>
    </w:pPr>
    <w:r>
      <w:rPr>
        <w:rFonts w:ascii="Times New Roman" w:hAnsi="Times New Roman"/>
        <w:color w:val="212121"/>
        <w:sz w:val="19"/>
      </w:rPr>
      <w:fldChar w:fldCharType="begin"/>
    </w:r>
    <w:r>
      <w:rPr>
        <w:rFonts w:ascii="Times New Roman" w:hAnsi="Times New Roman"/>
        <w:color w:val="212121"/>
        <w:sz w:val="19"/>
      </w:rPr>
      <w:instrText xml:space="preserve"> PAGE </w:instrText>
    </w:r>
    <w:r>
      <w:rPr>
        <w:rFonts w:ascii="Times New Roman" w:hAnsi="Times New Roman"/>
        <w:color w:val="212121"/>
        <w:sz w:val="19"/>
      </w:rPr>
      <w:fldChar w:fldCharType="separate"/>
    </w:r>
    <w:r w:rsidR="000646E5">
      <w:rPr>
        <w:rFonts w:ascii="Times New Roman" w:hAnsi="Times New Roman"/>
        <w:noProof/>
        <w:color w:val="212121"/>
        <w:sz w:val="19"/>
      </w:rPr>
      <w:t>20</w:t>
    </w:r>
    <w:r>
      <w:rPr>
        <w:rFonts w:ascii="Times New Roman" w:hAnsi="Times New Roman"/>
        <w:color w:val="212121"/>
        <w:sz w:val="19"/>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038D" w:rsidRDefault="0093038D">
      <w:pPr>
        <w:spacing w:after="0" w:line="240" w:lineRule="auto"/>
      </w:pPr>
      <w:r>
        <w:separator/>
      </w:r>
    </w:p>
  </w:footnote>
  <w:footnote w:type="continuationSeparator" w:id="0">
    <w:p w:rsidR="0093038D" w:rsidRDefault="009303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46E5"/>
    <w:rsid w:val="0015074B"/>
    <w:rsid w:val="0029639D"/>
    <w:rsid w:val="00323621"/>
    <w:rsid w:val="00326F90"/>
    <w:rsid w:val="0093038D"/>
    <w:rsid w:val="00AA1D8D"/>
    <w:rsid w:val="00B47730"/>
    <w:rsid w:val="00C118AA"/>
    <w:rsid w:val="00CB0664"/>
    <w:rsid w:val="00EA55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337410"/>
  <w14:defaultImageDpi w14:val="300"/>
  <w15:docId w15:val="{B4E308AE-5554-476F-A345-19B423AA3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46E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arxiv.org/abs/2105.14491"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rxiv.org/abs/1710.10903"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arxiv.org/abs/1705.0787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prometheus.io/"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martinfowler.com/articles/microservices.html" TargetMode="External"/><Relationship Id="rId28" Type="http://schemas.openxmlformats.org/officeDocument/2006/relationships/hyperlink" Target="https://arxiv.org/abs/1706.03762"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proceedings.mlr.press/v70/guo17a.html" TargetMode="External"/><Relationship Id="rId30" Type="http://schemas.openxmlformats.org/officeDocument/2006/relationships/hyperlink" Target="https://github.com/Kalaiselvan1702/OR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1C5B13-2058-4FD0-B9CD-B61FB0CF0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21</Pages>
  <Words>6951</Words>
  <Characters>39627</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2026-10-15T05:48:00Z</dcterms:modified>
  <cp:category/>
</cp:coreProperties>
</file>