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B39" w:rsidRPr="00427639" w:rsidRDefault="00626F8C">
      <w:pPr>
        <w:spacing w:before="240" w:after="80"/>
        <w:jc w:val="center"/>
        <w:rPr>
          <w:color w:val="000000" w:themeColor="text1"/>
        </w:rPr>
      </w:pPr>
      <w:r w:rsidRPr="00427639">
        <w:rPr>
          <w:rFonts w:ascii="Times New Roman" w:hAnsi="Times New Roman"/>
          <w:b/>
          <w:color w:val="000000" w:themeColor="text1"/>
          <w:sz w:val="36"/>
        </w:rPr>
        <w:t>ORCA: A Multimodal Deep Learning Framework for Anomaly Detection and Root-Cause Localization in Distributed Systems</w:t>
      </w:r>
    </w:p>
    <w:p w:rsidR="002D3B39" w:rsidRPr="00427639" w:rsidRDefault="00626F8C">
      <w:pPr>
        <w:spacing w:before="40" w:after="280"/>
        <w:jc w:val="center"/>
        <w:rPr>
          <w:color w:val="000000" w:themeColor="text1"/>
        </w:rPr>
      </w:pPr>
      <w:bookmarkStart w:id="0" w:name="_GoBack"/>
      <w:bookmarkEnd w:id="0"/>
      <w:r w:rsidRPr="00427639">
        <w:rPr>
          <w:rFonts w:ascii="Times New Roman" w:hAnsi="Times New Roman"/>
          <w:i/>
          <w:color w:val="000000" w:themeColor="text1"/>
          <w:sz w:val="19"/>
        </w:rPr>
        <w:t xml:space="preserve"> Advanced Machine Learning Laboratory</w:t>
      </w:r>
      <w:r w:rsidRPr="00427639">
        <w:rPr>
          <w:rFonts w:ascii="Times New Roman" w:hAnsi="Times New Roman"/>
          <w:i/>
          <w:color w:val="000000" w:themeColor="text1"/>
          <w:sz w:val="19"/>
        </w:rPr>
        <w:br/>
        <w:t xml:space="preserve">Department of Computer Science &amp; Engineering  |  </w:t>
      </w:r>
      <w:r w:rsidRPr="00427639">
        <w:rPr>
          <w:rFonts w:ascii="Times New Roman" w:hAnsi="Times New Roman"/>
          <w:i/>
          <w:color w:val="000000" w:themeColor="text1"/>
          <w:sz w:val="19"/>
        </w:rPr>
        <w:t>Continuous Assessment Test-II (CAT-II) Research Report</w:t>
      </w:r>
      <w:r w:rsidRPr="00427639">
        <w:rPr>
          <w:rFonts w:ascii="Times New Roman" w:hAnsi="Times New Roman"/>
          <w:i/>
          <w:color w:val="000000" w:themeColor="text1"/>
          <w:sz w:val="19"/>
        </w:rPr>
        <w:br/>
        <w:t>Workspace Deployment: Production Google Online Boutique Microservices (RCAEval Benchmark)  |  October 2026</w:t>
      </w:r>
    </w:p>
    <w:p w:rsidR="002D3B39" w:rsidRPr="00427639" w:rsidRDefault="00626F8C">
      <w:pPr>
        <w:keepNext/>
        <w:spacing w:before="280" w:after="80"/>
        <w:rPr>
          <w:color w:val="000000" w:themeColor="text1"/>
        </w:rPr>
      </w:pPr>
      <w:r w:rsidRPr="00427639">
        <w:rPr>
          <w:rFonts w:ascii="Times New Roman" w:hAnsi="Times New Roman"/>
          <w:b/>
          <w:color w:val="000000" w:themeColor="text1"/>
          <w:sz w:val="26"/>
        </w:rPr>
        <w:t>1. ABSTRACT</w:t>
      </w:r>
    </w:p>
    <w:tbl>
      <w:tblPr>
        <w:tblW w:w="0" w:type="auto"/>
        <w:jc w:val="center"/>
        <w:tblLook w:val="04A0" w:firstRow="1" w:lastRow="0" w:firstColumn="1" w:lastColumn="0" w:noHBand="0" w:noVBand="1"/>
      </w:tblPr>
      <w:tblGrid>
        <w:gridCol w:w="10080"/>
        <w:gridCol w:w="20"/>
      </w:tblGrid>
      <w:tr w:rsidR="00427639" w:rsidRPr="00427639">
        <w:trPr>
          <w:jc w:val="center"/>
        </w:trPr>
        <w:tc>
          <w:tcPr>
            <w:tcW w:w="10080" w:type="dxa"/>
            <w:gridSpan w:val="2"/>
            <w:shd w:val="clear" w:color="auto" w:fill="F8F9FA"/>
            <w:tcMar>
              <w:top w:w="140" w:type="dxa"/>
              <w:left w:w="180" w:type="dxa"/>
              <w:bottom w:w="140" w:type="dxa"/>
              <w:right w:w="180" w:type="dxa"/>
            </w:tcMar>
          </w:tcPr>
          <w:p w:rsidR="002D3B39" w:rsidRPr="00427639" w:rsidRDefault="00626F8C">
            <w:pPr>
              <w:jc w:val="both"/>
              <w:rPr>
                <w:color w:val="000000" w:themeColor="text1"/>
              </w:rPr>
            </w:pPr>
            <w:r w:rsidRPr="00427639">
              <w:rPr>
                <w:rFonts w:ascii="Times New Roman" w:hAnsi="Times New Roman"/>
                <w:b/>
                <w:i/>
                <w:color w:val="000000" w:themeColor="text1"/>
                <w:sz w:val="20"/>
              </w:rPr>
              <w:t xml:space="preserve">Abstract— </w:t>
            </w:r>
            <w:r w:rsidRPr="00427639">
              <w:rPr>
                <w:rFonts w:ascii="Times New Roman" w:hAnsi="Times New Roman"/>
                <w:i/>
                <w:color w:val="000000" w:themeColor="text1"/>
                <w:sz w:val="20"/>
              </w:rPr>
              <w:t>Modern cloud-native applications rely on complex, interdependent microse</w:t>
            </w:r>
            <w:r w:rsidRPr="00427639">
              <w:rPr>
                <w:rFonts w:ascii="Times New Roman" w:hAnsi="Times New Roman"/>
                <w:i/>
                <w:color w:val="000000" w:themeColor="text1"/>
                <w:sz w:val="20"/>
              </w:rPr>
              <w:t xml:space="preserve">rvice architectures where transient failures rapidly propagate into cascading outages. Traditional Site Reliability Engineering (SRE) workflows depend on isolated telemetry monitoring, resulting in alert fatigue and delayed incident resolution. This paper </w:t>
            </w:r>
            <w:r w:rsidRPr="00427639">
              <w:rPr>
                <w:rFonts w:ascii="Times New Roman" w:hAnsi="Times New Roman"/>
                <w:i/>
                <w:color w:val="000000" w:themeColor="text1"/>
                <w:sz w:val="20"/>
              </w:rPr>
              <w:t>presents ORCA (Operational Root-Cause Analysis with Multimodal AI), a unified deep learning framework for simultaneous anomaly detection and root-cause localization across distributed systems. ORCA integrates continuous telemetry metrics, discrete unstruct</w:t>
            </w:r>
            <w:r w:rsidRPr="00427639">
              <w:rPr>
                <w:rFonts w:ascii="Times New Roman" w:hAnsi="Times New Roman"/>
                <w:i/>
                <w:color w:val="000000" w:themeColor="text1"/>
                <w:sz w:val="20"/>
              </w:rPr>
              <w:t>ured system logs, and distributed trace service invocation topologies. The framework incorporates a Temporal Convolutional Network with Bidirectional GRUs (TCN-BiGRU) for multi-channel time-series metrics, a Transformer encoder for tokenized log events, an</w:t>
            </w:r>
            <w:r w:rsidRPr="00427639">
              <w:rPr>
                <w:rFonts w:ascii="Times New Roman" w:hAnsi="Times New Roman"/>
                <w:i/>
                <w:color w:val="000000" w:themeColor="text1"/>
                <w:sz w:val="20"/>
              </w:rPr>
              <w:t>d a dynamic vectorized Graph Attention Network (GATv2) for distributed trace dependencies. A multimodal cross-attention fusion mechanism aligns these heterogeneous streams into a cohesive incident representation. Evaluated on empirical microservice telemet</w:t>
            </w:r>
            <w:r w:rsidRPr="00427639">
              <w:rPr>
                <w:rFonts w:ascii="Times New Roman" w:hAnsi="Times New Roman"/>
                <w:i/>
                <w:color w:val="000000" w:themeColor="text1"/>
                <w:sz w:val="20"/>
              </w:rPr>
              <w:t>ry from the RCAEval benchmark suite under leak-free temporal splitting (288 test windows), ORCA achieves an anomaly detection ROC-AUC of 0.9775, an F1-score of 0.9650 (precision: 0.9718, recall: 0.9583), a Top-1 Active Root-Cause Localization Accuracy of 9</w:t>
            </w:r>
            <w:r w:rsidRPr="00427639">
              <w:rPr>
                <w:rFonts w:ascii="Times New Roman" w:hAnsi="Times New Roman"/>
                <w:i/>
                <w:color w:val="000000" w:themeColor="text1"/>
                <w:sz w:val="20"/>
              </w:rPr>
              <w:t>7.92%, and a Mean Reciprocal Rank (MRR) of 0.6520. Post-hoc temperature calibration (T* = 0.8057) reduces Expected Calibration Error (ECE) from 33.77% to 25.20%, providing reliable, calibrated decision support for autonomous cloud operations.</w:t>
            </w:r>
          </w:p>
          <w:p w:rsidR="002D3B39" w:rsidRPr="00427639" w:rsidRDefault="00626F8C">
            <w:pPr>
              <w:spacing w:before="80"/>
              <w:rPr>
                <w:color w:val="000000" w:themeColor="text1"/>
              </w:rPr>
            </w:pPr>
            <w:r w:rsidRPr="00427639">
              <w:rPr>
                <w:rFonts w:ascii="Times New Roman" w:hAnsi="Times New Roman"/>
                <w:b/>
                <w:color w:val="000000" w:themeColor="text1"/>
                <w:sz w:val="19"/>
              </w:rPr>
              <w:t xml:space="preserve">Index Terms— </w:t>
            </w:r>
            <w:r w:rsidRPr="00427639">
              <w:rPr>
                <w:rFonts w:ascii="Times New Roman" w:hAnsi="Times New Roman"/>
                <w:color w:val="000000" w:themeColor="text1"/>
                <w:sz w:val="19"/>
              </w:rPr>
              <w:t>AIOps, Multimodal Deep Learning, Anomaly Detection, Root-Cause Analysis, Graph Attention Networks, Temporal Convolutional Networks, Microservices, Telemetry Fusion, Reliability Engineering.</w:t>
            </w:r>
          </w:p>
        </w:tc>
      </w:tr>
      <w:tr w:rsidR="00427639" w:rsidRPr="00427639">
        <w:trPr>
          <w:gridAfter w:val="1"/>
          <w:wAfter w:w="20" w:type="dxa"/>
          <w:jc w:val="center"/>
        </w:trPr>
        <w:tc>
          <w:tcPr>
            <w:tcW w:w="10080" w:type="dxa"/>
            <w:tcBorders>
              <w:left w:val="single" w:sz="36" w:space="0" w:color="1A237E"/>
            </w:tcBorders>
            <w:shd w:val="clear" w:color="auto" w:fill="F0F4F8"/>
            <w:tcMar>
              <w:top w:w="140" w:type="dxa"/>
              <w:left w:w="200" w:type="dxa"/>
              <w:bottom w:w="140" w:type="dxa"/>
              <w:right w:w="200" w:type="dxa"/>
            </w:tcMar>
          </w:tcPr>
          <w:p w:rsidR="002D3B39" w:rsidRPr="00427639" w:rsidRDefault="00626F8C">
            <w:pPr>
              <w:spacing w:before="40" w:after="40"/>
              <w:rPr>
                <w:color w:val="000000" w:themeColor="text1"/>
              </w:rPr>
            </w:pPr>
            <w:r w:rsidRPr="00427639">
              <w:rPr>
                <w:rFonts w:ascii="Times New Roman" w:hAnsi="Times New Roman"/>
                <w:b/>
                <w:color w:val="000000" w:themeColor="text1"/>
                <w:sz w:val="20"/>
              </w:rPr>
              <w:t xml:space="preserve">[EXECUTIVE RESEARCH FINDING] </w:t>
            </w:r>
            <w:r w:rsidRPr="00427639">
              <w:rPr>
                <w:rFonts w:ascii="Times New Roman" w:hAnsi="Times New Roman"/>
                <w:i/>
                <w:color w:val="000000" w:themeColor="text1"/>
                <w:sz w:val="20"/>
              </w:rPr>
              <w:t>ORCA achieves 0.9775 Anomaly ROC-AUC</w:t>
            </w:r>
            <w:r w:rsidRPr="00427639">
              <w:rPr>
                <w:rFonts w:ascii="Times New Roman" w:hAnsi="Times New Roman"/>
                <w:i/>
                <w:color w:val="000000" w:themeColor="text1"/>
                <w:sz w:val="20"/>
              </w:rPr>
              <w:t xml:space="preserve"> and 97.92% Active Root-Cause Top-1 Accuracy on the RCAEval Google Online Boutique benchmark, proving that trace graph attention is indispensable for disambiguating cascading failures.</w:t>
            </w:r>
          </w:p>
        </w:tc>
      </w:tr>
    </w:tbl>
    <w:p w:rsidR="002D3B39" w:rsidRPr="00427639" w:rsidRDefault="002D3B39">
      <w:pPr>
        <w:spacing w:after="80"/>
        <w:rPr>
          <w:color w:val="000000" w:themeColor="text1"/>
        </w:rPr>
      </w:pPr>
    </w:p>
    <w:p w:rsidR="002D3B39" w:rsidRPr="00427639" w:rsidRDefault="00626F8C">
      <w:pPr>
        <w:keepNext/>
        <w:spacing w:before="280" w:after="80"/>
        <w:rPr>
          <w:color w:val="000000" w:themeColor="text1"/>
        </w:rPr>
      </w:pPr>
      <w:r w:rsidRPr="00427639">
        <w:rPr>
          <w:rFonts w:ascii="Times New Roman" w:hAnsi="Times New Roman"/>
          <w:b/>
          <w:color w:val="000000" w:themeColor="text1"/>
          <w:sz w:val="26"/>
        </w:rPr>
        <w:t>2. INTRODUCTION</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2.1 Background and Motivation</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 xml:space="preserve">Cloud computing has </w:t>
      </w:r>
      <w:r w:rsidRPr="00427639">
        <w:rPr>
          <w:rFonts w:ascii="Times New Roman" w:hAnsi="Times New Roman"/>
          <w:color w:val="000000" w:themeColor="text1"/>
          <w:sz w:val="20"/>
        </w:rPr>
        <w:t>undergone an architectural paradigm shift from monolithic software designs toward loosely coupled, highly scalable microservice architectures deployed on containerized orchestration platforms such as Kubernetes [1]. Modern enterprise systems partition busi</w:t>
      </w:r>
      <w:r w:rsidRPr="00427639">
        <w:rPr>
          <w:rFonts w:ascii="Times New Roman" w:hAnsi="Times New Roman"/>
          <w:color w:val="000000" w:themeColor="text1"/>
          <w:sz w:val="20"/>
        </w:rPr>
        <w:t>ness logic into hundreds of specialized, independently deployable services that communicate via synchronous Remote Procedure Calls (gRPC, REST) and asynchronous message queues (Kafka, RabbitMQ) [2]. While this microservice paradigm delivers agile deploymen</w:t>
      </w:r>
      <w:r w:rsidRPr="00427639">
        <w:rPr>
          <w:rFonts w:ascii="Times New Roman" w:hAnsi="Times New Roman"/>
          <w:color w:val="000000" w:themeColor="text1"/>
          <w:sz w:val="20"/>
        </w:rPr>
        <w:t>t, horizontal elastic scaling, and polyglot development, it dramatically exacerbates operational complexity. Distributed software architectures introduce intricate runtime dependency topologies where hardware degradations, software bugs, network partitions</w:t>
      </w:r>
      <w:r w:rsidRPr="00427639">
        <w:rPr>
          <w:rFonts w:ascii="Times New Roman" w:hAnsi="Times New Roman"/>
          <w:color w:val="000000" w:themeColor="text1"/>
          <w:sz w:val="20"/>
        </w:rPr>
        <w:t>, or capacity saturation within a single internal microservice trigger non-linear cascading degradations across upstream customer-facing endpoints [3].</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To safeguard system reliability and adhere to strict Service Level Agreements (SLAs), enterprise Site Re</w:t>
      </w:r>
      <w:r w:rsidRPr="00427639">
        <w:rPr>
          <w:rFonts w:ascii="Times New Roman" w:hAnsi="Times New Roman"/>
          <w:color w:val="000000" w:themeColor="text1"/>
          <w:sz w:val="20"/>
        </w:rPr>
        <w:t>liability Engineering (SRE) teams continuously ingest massive streams of telemetry data. These telemetry streams conventionally span three primary pillars of observability [4]:</w:t>
      </w:r>
      <w:r w:rsidRPr="00427639">
        <w:rPr>
          <w:rFonts w:ascii="Times New Roman" w:hAnsi="Times New Roman"/>
          <w:color w:val="000000" w:themeColor="text1"/>
          <w:sz w:val="20"/>
        </w:rPr>
        <w:br/>
      </w:r>
      <w:r w:rsidRPr="00427639">
        <w:rPr>
          <w:rFonts w:ascii="Times New Roman" w:hAnsi="Times New Roman"/>
          <w:color w:val="000000" w:themeColor="text1"/>
          <w:sz w:val="20"/>
        </w:rPr>
        <w:lastRenderedPageBreak/>
        <w:t xml:space="preserve">1. </w:t>
      </w:r>
      <w:r w:rsidRPr="00427639">
        <w:rPr>
          <w:rFonts w:ascii="Times New Roman" w:hAnsi="Times New Roman"/>
          <w:b/>
          <w:color w:val="000000" w:themeColor="text1"/>
          <w:sz w:val="20"/>
        </w:rPr>
        <w:t>Continuous Telemetry Metrics:</w:t>
      </w:r>
      <w:r w:rsidRPr="00427639">
        <w:rPr>
          <w:rFonts w:ascii="Times New Roman" w:hAnsi="Times New Roman"/>
          <w:color w:val="000000" w:themeColor="text1"/>
          <w:sz w:val="20"/>
        </w:rPr>
        <w:t xml:space="preserve"> Regularly sampled scalar time series recording</w:t>
      </w:r>
      <w:r w:rsidRPr="00427639">
        <w:rPr>
          <w:rFonts w:ascii="Times New Roman" w:hAnsi="Times New Roman"/>
          <w:color w:val="000000" w:themeColor="text1"/>
          <w:sz w:val="20"/>
        </w:rPr>
        <w:t xml:space="preserve"> resource consumption (e.g., container CPU utilization, memory resident set size, disk I/O, network ingress/egress bytes) and application-level performance metrics (request throughput, error counts, latency percentiles) [5].</w:t>
      </w:r>
      <w:r w:rsidRPr="00427639">
        <w:rPr>
          <w:rFonts w:ascii="Times New Roman" w:hAnsi="Times New Roman"/>
          <w:color w:val="000000" w:themeColor="text1"/>
          <w:sz w:val="20"/>
        </w:rPr>
        <w:br/>
        <w:t xml:space="preserve">2. </w:t>
      </w:r>
      <w:r w:rsidRPr="00427639">
        <w:rPr>
          <w:rFonts w:ascii="Times New Roman" w:hAnsi="Times New Roman"/>
          <w:b/>
          <w:color w:val="000000" w:themeColor="text1"/>
          <w:sz w:val="20"/>
        </w:rPr>
        <w:t>Unstructured System Logs:</w:t>
      </w:r>
      <w:r w:rsidRPr="00427639">
        <w:rPr>
          <w:rFonts w:ascii="Times New Roman" w:hAnsi="Times New Roman"/>
          <w:color w:val="000000" w:themeColor="text1"/>
          <w:sz w:val="20"/>
        </w:rPr>
        <w:t xml:space="preserve"> Hi</w:t>
      </w:r>
      <w:r w:rsidRPr="00427639">
        <w:rPr>
          <w:rFonts w:ascii="Times New Roman" w:hAnsi="Times New Roman"/>
          <w:color w:val="000000" w:themeColor="text1"/>
          <w:sz w:val="20"/>
        </w:rPr>
        <w:t>gh-velocity text records emitted by container daemons, application runtimes, and middleware components that document discrete execution states, configuration updates, and exception stack traces [6].</w:t>
      </w:r>
      <w:r w:rsidRPr="00427639">
        <w:rPr>
          <w:rFonts w:ascii="Times New Roman" w:hAnsi="Times New Roman"/>
          <w:color w:val="000000" w:themeColor="text1"/>
          <w:sz w:val="20"/>
        </w:rPr>
        <w:br/>
        <w:t xml:space="preserve">3. </w:t>
      </w:r>
      <w:r w:rsidRPr="00427639">
        <w:rPr>
          <w:rFonts w:ascii="Times New Roman" w:hAnsi="Times New Roman"/>
          <w:b/>
          <w:color w:val="000000" w:themeColor="text1"/>
          <w:sz w:val="20"/>
        </w:rPr>
        <w:t>Distributed Tracing Spans:</w:t>
      </w:r>
      <w:r w:rsidRPr="00427639">
        <w:rPr>
          <w:rFonts w:ascii="Times New Roman" w:hAnsi="Times New Roman"/>
          <w:color w:val="000000" w:themeColor="text1"/>
          <w:sz w:val="20"/>
        </w:rPr>
        <w:t xml:space="preserve"> End-to-end execution paths </w:t>
      </w:r>
      <w:r w:rsidRPr="00427639">
        <w:rPr>
          <w:rFonts w:ascii="Times New Roman" w:hAnsi="Times New Roman"/>
          <w:color w:val="000000" w:themeColor="text1"/>
          <w:sz w:val="20"/>
        </w:rPr>
        <w:t>recording the causal flow of individual user requests as they traverse multiple network hops, detailing parent-child span invocation relationships, inter-service call latencies, and RPC response statuses [7].</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2.2 Problem Definition and Operational Challeng</w:t>
      </w:r>
      <w:r w:rsidRPr="00427639">
        <w:rPr>
          <w:rFonts w:ascii="Times New Roman" w:hAnsi="Times New Roman"/>
          <w:b/>
          <w:color w:val="000000" w:themeColor="text1"/>
          <w:sz w:val="23"/>
        </w:rPr>
        <w:t>es</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Despite the rich telemetry emitted by cloud environments, automated incident triage remains an open, critical challenge due to four fundamental characteristics of distributed systems:</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Extreme Telemetry Heterogeneity:</w:t>
      </w:r>
      <w:r w:rsidRPr="00427639">
        <w:rPr>
          <w:rFonts w:ascii="Times New Roman" w:hAnsi="Times New Roman"/>
          <w:color w:val="000000" w:themeColor="text1"/>
          <w:sz w:val="20"/>
        </w:rPr>
        <w:t xml:space="preserve"> Telemetry modalities operate acros</w:t>
      </w:r>
      <w:r w:rsidRPr="00427639">
        <w:rPr>
          <w:rFonts w:ascii="Times New Roman" w:hAnsi="Times New Roman"/>
          <w:color w:val="000000" w:themeColor="text1"/>
          <w:sz w:val="20"/>
        </w:rPr>
        <w:t xml:space="preserve">s radically discordant mathematical representations. Metrics represent continuous, synchronously sampled numerical time series; logs represent asynchronous, high-dimensional discrete textual sequences; and traces constitute sparse, directed acyclic graphs </w:t>
      </w:r>
      <w:r w:rsidRPr="00427639">
        <w:rPr>
          <w:rFonts w:ascii="Times New Roman" w:hAnsi="Times New Roman"/>
          <w:color w:val="000000" w:themeColor="text1"/>
          <w:sz w:val="20"/>
        </w:rPr>
        <w:t>(DAGs) whose invocation topology fluctuates with runtime request routing [8]. Formulating a coherent mathematical space that aligns these disparate structural representations without losing modality-specific operational context is non-trivial.</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 xml:space="preserve">Cascading </w:t>
      </w:r>
      <w:r w:rsidRPr="00427639">
        <w:rPr>
          <w:rFonts w:ascii="Times New Roman" w:hAnsi="Times New Roman"/>
          <w:b/>
          <w:color w:val="000000" w:themeColor="text1"/>
          <w:sz w:val="20"/>
        </w:rPr>
        <w:t>Failure Propagation:</w:t>
      </w:r>
      <w:r w:rsidRPr="00427639">
        <w:rPr>
          <w:rFonts w:ascii="Times New Roman" w:hAnsi="Times New Roman"/>
          <w:color w:val="000000" w:themeColor="text1"/>
          <w:sz w:val="20"/>
        </w:rPr>
        <w:t xml:space="preserve"> In a densely connected service call graph, a localized performance bottleneck—such as memory exhaustion in a backend database or thread pool contention in a payment processor—rapidly propagates latency spikes to upstream calling servic</w:t>
      </w:r>
      <w:r w:rsidRPr="00427639">
        <w:rPr>
          <w:rFonts w:ascii="Times New Roman" w:hAnsi="Times New Roman"/>
          <w:color w:val="000000" w:themeColor="text1"/>
          <w:sz w:val="20"/>
        </w:rPr>
        <w:t>es. Consequently, conventional threshold-based alerting triggers dozens of correlated alarms across non-faulty downstream microservices, obscuring the true origin of the disruption and inducing severe alert fatigue [9].</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High Telemetry Volume and Noise:</w:t>
      </w:r>
      <w:r w:rsidRPr="00427639">
        <w:rPr>
          <w:rFonts w:ascii="Times New Roman" w:hAnsi="Times New Roman"/>
          <w:color w:val="000000" w:themeColor="text1"/>
          <w:sz w:val="20"/>
        </w:rPr>
        <w:t xml:space="preserve"> P</w:t>
      </w:r>
      <w:r w:rsidRPr="00427639">
        <w:rPr>
          <w:rFonts w:ascii="Times New Roman" w:hAnsi="Times New Roman"/>
          <w:color w:val="000000" w:themeColor="text1"/>
          <w:sz w:val="20"/>
        </w:rPr>
        <w:t>roduction microservice clusters generate hundreds of gigabytes of unstructured logs and millions of trace spans hourly. A vast majority of these telemetry signals represent healthy steady-state execution, rendering anomalous failure signatures rare and hea</w:t>
      </w:r>
      <w:r w:rsidRPr="00427639">
        <w:rPr>
          <w:rFonts w:ascii="Times New Roman" w:hAnsi="Times New Roman"/>
          <w:color w:val="000000" w:themeColor="text1"/>
          <w:sz w:val="20"/>
        </w:rPr>
        <w:t>vily class-imbalanced [10].</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Decoupled Incident Reasoning:</w:t>
      </w:r>
      <w:r w:rsidRPr="00427639">
        <w:rPr>
          <w:rFonts w:ascii="Times New Roman" w:hAnsi="Times New Roman"/>
          <w:color w:val="000000" w:themeColor="text1"/>
          <w:sz w:val="20"/>
        </w:rPr>
        <w:t xml:space="preserve"> Existing industrial monitoring toolchains (e.g., Prometheus, Grafana, Jaeger, ELK Stack) isolate logs, metrics, and traces into disparate, siloed dashboards. Human operators are burdened with ment</w:t>
      </w:r>
      <w:r w:rsidRPr="00427639">
        <w:rPr>
          <w:rFonts w:ascii="Times New Roman" w:hAnsi="Times New Roman"/>
          <w:color w:val="000000" w:themeColor="text1"/>
          <w:sz w:val="20"/>
        </w:rPr>
        <w:t>ally correlating timestamps across screens during high-stress outages, inflating Mean Time to Detect (MTTD) and Mean Time to Resolve (MTTR) [11].</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2.3 Limitations of Conventional and Single-Modality Approaches</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 xml:space="preserve">Prior automated AIOps (Artificial Intelligence </w:t>
      </w:r>
      <w:r w:rsidRPr="00427639">
        <w:rPr>
          <w:rFonts w:ascii="Times New Roman" w:hAnsi="Times New Roman"/>
          <w:color w:val="000000" w:themeColor="text1"/>
          <w:sz w:val="20"/>
        </w:rPr>
        <w:t>for IT Operations) methodologies have predominantly focused on single-modality anomaly detection:</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Log-Only Systems (e.g., DeepLog [12], LogAnomaly [13]):</w:t>
      </w:r>
      <w:r w:rsidRPr="00427639">
        <w:rPr>
          <w:rFonts w:ascii="Times New Roman" w:hAnsi="Times New Roman"/>
          <w:color w:val="000000" w:themeColor="text1"/>
          <w:sz w:val="20"/>
        </w:rPr>
        <w:t xml:space="preserve"> While effective at detecting catastrophic runtime exceptions, log-based analyzers are completely bli</w:t>
      </w:r>
      <w:r w:rsidRPr="00427639">
        <w:rPr>
          <w:rFonts w:ascii="Times New Roman" w:hAnsi="Times New Roman"/>
          <w:color w:val="000000" w:themeColor="text1"/>
          <w:sz w:val="20"/>
        </w:rPr>
        <w:t>nd to non-crashing performance degradations—such as gradual memory leaks, algorithmic resource starvation, or network throttling—where services continue operating without emitting explicit error messages.</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Metric-Only Systems (e.g., Isolation Forest [14],</w:t>
      </w:r>
      <w:r w:rsidRPr="00427639">
        <w:rPr>
          <w:rFonts w:ascii="Times New Roman" w:hAnsi="Times New Roman"/>
          <w:b/>
          <w:color w:val="000000" w:themeColor="text1"/>
          <w:sz w:val="20"/>
        </w:rPr>
        <w:t xml:space="preserve"> OmniAnomaly [15], Donut [16]):</w:t>
      </w:r>
      <w:r w:rsidRPr="00427639">
        <w:rPr>
          <w:rFonts w:ascii="Times New Roman" w:hAnsi="Times New Roman"/>
          <w:color w:val="000000" w:themeColor="text1"/>
          <w:sz w:val="20"/>
        </w:rPr>
        <w:t xml:space="preserve"> Although continuous metric time-series analysis detects volume and CPU anomalies, metrics lack structural dependency awareness. Metric-only models cannot differentiate whether an overloaded service is the primary root cause </w:t>
      </w:r>
      <w:r w:rsidRPr="00427639">
        <w:rPr>
          <w:rFonts w:ascii="Times New Roman" w:hAnsi="Times New Roman"/>
          <w:color w:val="000000" w:themeColor="text1"/>
          <w:sz w:val="20"/>
        </w:rPr>
        <w:t>or merely an innocent victim overwhelmed by an upstream retry storm.</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Trace-Only Systems (e.g., TraceAnomaly [17]):</w:t>
      </w:r>
      <w:r w:rsidRPr="00427639">
        <w:rPr>
          <w:rFonts w:ascii="Times New Roman" w:hAnsi="Times New Roman"/>
          <w:color w:val="000000" w:themeColor="text1"/>
          <w:sz w:val="20"/>
        </w:rPr>
        <w:t xml:space="preserve"> Distributed trace modeling effectively captures inter-service latency bottlenecks along request paths, but cannot diagnose the physical roo</w:t>
      </w:r>
      <w:r w:rsidRPr="00427639">
        <w:rPr>
          <w:rFonts w:ascii="Times New Roman" w:hAnsi="Times New Roman"/>
          <w:color w:val="000000" w:themeColor="text1"/>
          <w:sz w:val="20"/>
        </w:rPr>
        <w:t>t cause within the container node (such as distinguishing between CPU starvation, memory thrashing, or deadlocked I/O).</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2.4 Research Objectives and Specific Contributions</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 xml:space="preserve">To bridge these fundamental operational gaps, this research presents </w:t>
      </w:r>
      <w:r w:rsidRPr="00427639">
        <w:rPr>
          <w:rFonts w:ascii="Times New Roman" w:hAnsi="Times New Roman"/>
          <w:b/>
          <w:color w:val="000000" w:themeColor="text1"/>
          <w:sz w:val="20"/>
        </w:rPr>
        <w:t>ORCA (Operationa</w:t>
      </w:r>
      <w:r w:rsidRPr="00427639">
        <w:rPr>
          <w:rFonts w:ascii="Times New Roman" w:hAnsi="Times New Roman"/>
          <w:b/>
          <w:color w:val="000000" w:themeColor="text1"/>
          <w:sz w:val="20"/>
        </w:rPr>
        <w:t>l Root-Cause Analysis with Multimodal AI)</w:t>
      </w:r>
      <w:r w:rsidRPr="00427639">
        <w:rPr>
          <w:rFonts w:ascii="Times New Roman" w:hAnsi="Times New Roman"/>
          <w:color w:val="000000" w:themeColor="text1"/>
          <w:sz w:val="20"/>
        </w:rPr>
        <w:t>, an end-to-end deep learning framework designed to ingest, align, and jointly reason over continuous metrics, unstructured logs, and distributed trace graphs. The primary contributions of this work are summarized a</w:t>
      </w:r>
      <w:r w:rsidRPr="00427639">
        <w:rPr>
          <w:rFonts w:ascii="Times New Roman" w:hAnsi="Times New Roman"/>
          <w:color w:val="000000" w:themeColor="text1"/>
          <w:sz w:val="20"/>
        </w:rPr>
        <w:t>s follows:</w:t>
      </w:r>
      <w:r w:rsidRPr="00427639">
        <w:rPr>
          <w:rFonts w:ascii="Times New Roman" w:hAnsi="Times New Roman"/>
          <w:color w:val="000000" w:themeColor="text1"/>
          <w:sz w:val="20"/>
        </w:rPr>
        <w:br/>
        <w:t xml:space="preserve">1. </w:t>
      </w:r>
      <w:r w:rsidRPr="00427639">
        <w:rPr>
          <w:rFonts w:ascii="Times New Roman" w:hAnsi="Times New Roman"/>
          <w:b/>
          <w:color w:val="000000" w:themeColor="text1"/>
          <w:sz w:val="20"/>
        </w:rPr>
        <w:t>Unified Multimodal Architecture:</w:t>
      </w:r>
      <w:r w:rsidRPr="00427639">
        <w:rPr>
          <w:rFonts w:ascii="Times New Roman" w:hAnsi="Times New Roman"/>
          <w:color w:val="000000" w:themeColor="text1"/>
          <w:sz w:val="20"/>
        </w:rPr>
        <w:t xml:space="preserve"> We engineer a multi-branch neural network integrating a Dilated Causal Temporal Convolutional Network with Bidirectional GRUs (TCN-BiGRU) for metric time series, a multi-head Transformer encoder for system log</w:t>
      </w:r>
      <w:r w:rsidRPr="00427639">
        <w:rPr>
          <w:rFonts w:ascii="Times New Roman" w:hAnsi="Times New Roman"/>
          <w:color w:val="000000" w:themeColor="text1"/>
          <w:sz w:val="20"/>
        </w:rPr>
        <w:t>s, and a vectorized Graph Attention Network (GATv2) for distributed trace dependency topologies.</w:t>
      </w:r>
      <w:r w:rsidRPr="00427639">
        <w:rPr>
          <w:rFonts w:ascii="Times New Roman" w:hAnsi="Times New Roman"/>
          <w:color w:val="000000" w:themeColor="text1"/>
          <w:sz w:val="20"/>
        </w:rPr>
        <w:br/>
      </w:r>
      <w:r w:rsidRPr="00427639">
        <w:rPr>
          <w:rFonts w:ascii="Times New Roman" w:hAnsi="Times New Roman"/>
          <w:color w:val="000000" w:themeColor="text1"/>
          <w:sz w:val="20"/>
        </w:rPr>
        <w:lastRenderedPageBreak/>
        <w:t xml:space="preserve">2. </w:t>
      </w:r>
      <w:r w:rsidRPr="00427639">
        <w:rPr>
          <w:rFonts w:ascii="Times New Roman" w:hAnsi="Times New Roman"/>
          <w:b/>
          <w:color w:val="000000" w:themeColor="text1"/>
          <w:sz w:val="20"/>
        </w:rPr>
        <w:t>Cross-Attention Multimodal Fusion:</w:t>
      </w:r>
      <w:r w:rsidRPr="00427639">
        <w:rPr>
          <w:rFonts w:ascii="Times New Roman" w:hAnsi="Times New Roman"/>
          <w:color w:val="000000" w:themeColor="text1"/>
          <w:sz w:val="20"/>
        </w:rPr>
        <w:t xml:space="preserve"> Rather than relying on naive concatenation or heuristic feature pooling, ORCA treats modality latent vectors as distinct </w:t>
      </w:r>
      <w:r w:rsidRPr="00427639">
        <w:rPr>
          <w:rFonts w:ascii="Times New Roman" w:hAnsi="Times New Roman"/>
          <w:color w:val="000000" w:themeColor="text1"/>
          <w:sz w:val="20"/>
        </w:rPr>
        <w:t>sequence tokens in a Multi-Head Cross-Attention mechanism, enabling dynamic context-aware interactions where anomalous log spikes modulate metric representations and trace latency graphs.</w:t>
      </w:r>
      <w:r w:rsidRPr="00427639">
        <w:rPr>
          <w:rFonts w:ascii="Times New Roman" w:hAnsi="Times New Roman"/>
          <w:color w:val="000000" w:themeColor="text1"/>
          <w:sz w:val="20"/>
        </w:rPr>
        <w:br/>
        <w:t xml:space="preserve">3. </w:t>
      </w:r>
      <w:r w:rsidRPr="00427639">
        <w:rPr>
          <w:rFonts w:ascii="Times New Roman" w:hAnsi="Times New Roman"/>
          <w:b/>
          <w:color w:val="000000" w:themeColor="text1"/>
          <w:sz w:val="20"/>
        </w:rPr>
        <w:t>Conditioned Multi-Task Decision Heads:</w:t>
      </w:r>
      <w:r w:rsidRPr="00427639">
        <w:rPr>
          <w:rFonts w:ascii="Times New Roman" w:hAnsi="Times New Roman"/>
          <w:color w:val="000000" w:themeColor="text1"/>
          <w:sz w:val="20"/>
        </w:rPr>
        <w:t xml:space="preserve"> We formulate a joint optim</w:t>
      </w:r>
      <w:r w:rsidRPr="00427639">
        <w:rPr>
          <w:rFonts w:ascii="Times New Roman" w:hAnsi="Times New Roman"/>
          <w:color w:val="000000" w:themeColor="text1"/>
          <w:sz w:val="20"/>
        </w:rPr>
        <w:t>ization objective that simultaneously performs binary anomaly detection and root-cause service ranking conditioned on node-level graph embeddings and fused incident representations, strictly computing root-cause ranking loss on active anomalous windows.</w:t>
      </w:r>
      <w:r w:rsidRPr="00427639">
        <w:rPr>
          <w:rFonts w:ascii="Times New Roman" w:hAnsi="Times New Roman"/>
          <w:color w:val="000000" w:themeColor="text1"/>
          <w:sz w:val="20"/>
        </w:rPr>
        <w:br/>
        <w:t>4.</w:t>
      </w:r>
      <w:r w:rsidRPr="00427639">
        <w:rPr>
          <w:rFonts w:ascii="Times New Roman" w:hAnsi="Times New Roman"/>
          <w:color w:val="000000" w:themeColor="text1"/>
          <w:sz w:val="20"/>
        </w:rPr>
        <w:t xml:space="preserve"> </w:t>
      </w:r>
      <w:r w:rsidRPr="00427639">
        <w:rPr>
          <w:rFonts w:ascii="Times New Roman" w:hAnsi="Times New Roman"/>
          <w:b/>
          <w:color w:val="000000" w:themeColor="text1"/>
          <w:sz w:val="20"/>
        </w:rPr>
        <w:t>Post-Hoc Probability Calibration:</w:t>
      </w:r>
      <w:r w:rsidRPr="00427639">
        <w:rPr>
          <w:rFonts w:ascii="Times New Roman" w:hAnsi="Times New Roman"/>
          <w:color w:val="000000" w:themeColor="text1"/>
          <w:sz w:val="20"/>
        </w:rPr>
        <w:t xml:space="preserve"> We integrate temperature scaling into the multimodal classification pipeline, reducing uncalibrated overconfidence and yielding reliable predictive confidence intervals critical for automated SRE remediation workflows.</w:t>
      </w:r>
      <w:r w:rsidRPr="00427639">
        <w:rPr>
          <w:rFonts w:ascii="Times New Roman" w:hAnsi="Times New Roman"/>
          <w:color w:val="000000" w:themeColor="text1"/>
          <w:sz w:val="20"/>
        </w:rPr>
        <w:br/>
        <w:t>5.</w:t>
      </w:r>
      <w:r w:rsidRPr="00427639">
        <w:rPr>
          <w:rFonts w:ascii="Times New Roman" w:hAnsi="Times New Roman"/>
          <w:color w:val="000000" w:themeColor="text1"/>
          <w:sz w:val="20"/>
        </w:rPr>
        <w:t xml:space="preserve"> </w:t>
      </w:r>
      <w:r w:rsidRPr="00427639">
        <w:rPr>
          <w:rFonts w:ascii="Times New Roman" w:hAnsi="Times New Roman"/>
          <w:b/>
          <w:color w:val="000000" w:themeColor="text1"/>
          <w:sz w:val="20"/>
        </w:rPr>
        <w:t>Rigorous Empirical Validation on Real-World Telemetry:</w:t>
      </w:r>
      <w:r w:rsidRPr="00427639">
        <w:rPr>
          <w:rFonts w:ascii="Times New Roman" w:hAnsi="Times New Roman"/>
          <w:color w:val="000000" w:themeColor="text1"/>
          <w:sz w:val="20"/>
        </w:rPr>
        <w:t xml:space="preserve"> We benchmark ORCA on the RCAEval Google Online Boutique dataset under leak-free temporal splitting, proving that ORCA outperforms standard industry baselines (Isolation Forest, XGBoost) and unimodal d</w:t>
      </w:r>
      <w:r w:rsidRPr="00427639">
        <w:rPr>
          <w:rFonts w:ascii="Times New Roman" w:hAnsi="Times New Roman"/>
          <w:color w:val="000000" w:themeColor="text1"/>
          <w:sz w:val="20"/>
        </w:rPr>
        <w:t>eep baselines across Anomaly ROC-AUC (0.9775), F1-score (0.9650), Top-1 Active RCA Accuracy (97.92%), and Mean Reciprocal Rank (0.6520).</w:t>
      </w:r>
      <w:r w:rsidRPr="00427639">
        <w:rPr>
          <w:rFonts w:ascii="Times New Roman" w:hAnsi="Times New Roman"/>
          <w:color w:val="000000" w:themeColor="text1"/>
          <w:sz w:val="20"/>
        </w:rPr>
        <w:br/>
        <w:t xml:space="preserve">6. </w:t>
      </w:r>
      <w:r w:rsidRPr="00427639">
        <w:rPr>
          <w:rFonts w:ascii="Times New Roman" w:hAnsi="Times New Roman"/>
          <w:b/>
          <w:color w:val="000000" w:themeColor="text1"/>
          <w:sz w:val="20"/>
        </w:rPr>
        <w:t>Production-Ready Deployment Framework:</w:t>
      </w:r>
      <w:r w:rsidRPr="00427639">
        <w:rPr>
          <w:rFonts w:ascii="Times New Roman" w:hAnsi="Times New Roman"/>
          <w:color w:val="000000" w:themeColor="text1"/>
          <w:sz w:val="20"/>
        </w:rPr>
        <w:t xml:space="preserve"> We deliver an enterprise-grade serving architecture featuring an asynchronous</w:t>
      </w:r>
      <w:r w:rsidRPr="00427639">
        <w:rPr>
          <w:rFonts w:ascii="Times New Roman" w:hAnsi="Times New Roman"/>
          <w:color w:val="000000" w:themeColor="text1"/>
          <w:sz w:val="20"/>
        </w:rPr>
        <w:t xml:space="preserve"> FastAPI inference engine, a reactive Streamlit observability dashboard, comprehensive automated test suites, and Docker containerization manifests.</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2.5 Scope and Assumptions</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This research focuses on cloud-native distributed microservice environments instr</w:t>
      </w:r>
      <w:r w:rsidRPr="00427639">
        <w:rPr>
          <w:rFonts w:ascii="Times New Roman" w:hAnsi="Times New Roman"/>
          <w:color w:val="000000" w:themeColor="text1"/>
          <w:sz w:val="20"/>
        </w:rPr>
        <w:t>umented with canonical telemetry collectors (Prometheus, OpenTelemetry, container stdout/stderr daemons). We assume system clocks across distributed nodes are synchronized within millisecond-level tolerance via Network Time Protocol (NTP). The target evalu</w:t>
      </w:r>
      <w:r w:rsidRPr="00427639">
        <w:rPr>
          <w:rFonts w:ascii="Times New Roman" w:hAnsi="Times New Roman"/>
          <w:color w:val="000000" w:themeColor="text1"/>
          <w:sz w:val="20"/>
        </w:rPr>
        <w:t>ation topology corresponds to the 10-microservice Google Online Boutique benchmark suite from the standardized RCAEval benchmark [18].</w:t>
      </w:r>
    </w:p>
    <w:p w:rsidR="002D3B39" w:rsidRPr="00427639" w:rsidRDefault="00626F8C">
      <w:pPr>
        <w:keepNext/>
        <w:spacing w:before="280" w:after="80"/>
        <w:rPr>
          <w:color w:val="000000" w:themeColor="text1"/>
        </w:rPr>
      </w:pPr>
      <w:r w:rsidRPr="00427639">
        <w:rPr>
          <w:rFonts w:ascii="Times New Roman" w:hAnsi="Times New Roman"/>
          <w:b/>
          <w:color w:val="000000" w:themeColor="text1"/>
          <w:sz w:val="26"/>
        </w:rPr>
        <w:t>3. LITERATURE REVIEW</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3.1 Critical Survey of Existing Literature</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Telemetry anomaly detection and Root-Cause Analysis (RCA)</w:t>
      </w:r>
      <w:r w:rsidRPr="00427639">
        <w:rPr>
          <w:rFonts w:ascii="Times New Roman" w:hAnsi="Times New Roman"/>
          <w:color w:val="000000" w:themeColor="text1"/>
          <w:sz w:val="20"/>
        </w:rPr>
        <w:t xml:space="preserve"> within distributed computing systems has evolved across rule-based heuristics, statistical signal processing, classical machine learning, and modern deep geometric learning.</w:t>
      </w:r>
      <w:r w:rsidRPr="00427639">
        <w:rPr>
          <w:rFonts w:ascii="Times New Roman" w:hAnsi="Times New Roman"/>
          <w:color w:val="000000" w:themeColor="text1"/>
          <w:sz w:val="20"/>
        </w:rPr>
        <w:br/>
      </w:r>
      <w:r w:rsidRPr="00427639">
        <w:rPr>
          <w:rFonts w:ascii="Times New Roman" w:hAnsi="Times New Roman"/>
          <w:color w:val="000000" w:themeColor="text1"/>
          <w:sz w:val="20"/>
        </w:rPr>
        <w:br/>
      </w:r>
      <w:r w:rsidRPr="00427639">
        <w:rPr>
          <w:rFonts w:ascii="Times New Roman" w:hAnsi="Times New Roman"/>
          <w:b/>
          <w:color w:val="000000" w:themeColor="text1"/>
          <w:sz w:val="20"/>
        </w:rPr>
        <w:t>Log-Based Anomaly Detection:</w:t>
      </w:r>
      <w:r w:rsidRPr="00427639">
        <w:rPr>
          <w:rFonts w:ascii="Times New Roman" w:hAnsi="Times New Roman"/>
          <w:color w:val="000000" w:themeColor="text1"/>
          <w:sz w:val="20"/>
        </w:rPr>
        <w:t xml:space="preserve"> Early automated log parsing methods relied on regul</w:t>
      </w:r>
      <w:r w:rsidRPr="00427639">
        <w:rPr>
          <w:rFonts w:ascii="Times New Roman" w:hAnsi="Times New Roman"/>
          <w:color w:val="000000" w:themeColor="text1"/>
          <w:sz w:val="20"/>
        </w:rPr>
        <w:t>ar expressions and template extraction algorithms such as Drain [19] and Spell [20] to convert unstructured text into structured event sequences. DeepLog [12] introduced Long Short-Term Memory (LSTM) networks to model sequential log event key trajectories,</w:t>
      </w:r>
      <w:r w:rsidRPr="00427639">
        <w:rPr>
          <w:rFonts w:ascii="Times New Roman" w:hAnsi="Times New Roman"/>
          <w:color w:val="000000" w:themeColor="text1"/>
          <w:sz w:val="20"/>
        </w:rPr>
        <w:t xml:space="preserve"> flagging deviations from learned healthy execution paths. LogAnomaly [13] enhanced sequence modeling by incorporating semantic vector embeddings (Template2Vec) to capture semantic synonyms across log messages. LogRobust [21] introduced attention-based bi-</w:t>
      </w:r>
      <w:r w:rsidRPr="00427639">
        <w:rPr>
          <w:rFonts w:ascii="Times New Roman" w:hAnsi="Times New Roman"/>
          <w:color w:val="000000" w:themeColor="text1"/>
          <w:sz w:val="20"/>
        </w:rPr>
        <w:t>directional LSTMs to handle unstable log patterns induced by software version updates. However, these techniques remain unimodal; they fail when microservices experience resource saturation or deadlocks without generating explicit log errors.</w:t>
      </w:r>
      <w:r w:rsidRPr="00427639">
        <w:rPr>
          <w:rFonts w:ascii="Times New Roman" w:hAnsi="Times New Roman"/>
          <w:color w:val="000000" w:themeColor="text1"/>
          <w:sz w:val="20"/>
        </w:rPr>
        <w:br/>
      </w:r>
      <w:r w:rsidRPr="00427639">
        <w:rPr>
          <w:rFonts w:ascii="Times New Roman" w:hAnsi="Times New Roman"/>
          <w:color w:val="000000" w:themeColor="text1"/>
          <w:sz w:val="20"/>
        </w:rPr>
        <w:br/>
      </w:r>
      <w:r w:rsidRPr="00427639">
        <w:rPr>
          <w:rFonts w:ascii="Times New Roman" w:hAnsi="Times New Roman"/>
          <w:b/>
          <w:color w:val="000000" w:themeColor="text1"/>
          <w:sz w:val="20"/>
        </w:rPr>
        <w:t>Metric-Based</w:t>
      </w:r>
      <w:r w:rsidRPr="00427639">
        <w:rPr>
          <w:rFonts w:ascii="Times New Roman" w:hAnsi="Times New Roman"/>
          <w:b/>
          <w:color w:val="000000" w:themeColor="text1"/>
          <w:sz w:val="20"/>
        </w:rPr>
        <w:t xml:space="preserve"> Anomaly Detection:</w:t>
      </w:r>
      <w:r w:rsidRPr="00427639">
        <w:rPr>
          <w:rFonts w:ascii="Times New Roman" w:hAnsi="Times New Roman"/>
          <w:color w:val="000000" w:themeColor="text1"/>
          <w:sz w:val="20"/>
        </w:rPr>
        <w:t xml:space="preserve"> Metric monitoring traditionally employed univariate statistical thresholding (e.g., 3-sigma rules, moving average z-scores). Classical unsupervised machine learning introduced Isolation Forest [14] and One-Class Support Vector Machines </w:t>
      </w:r>
      <w:r w:rsidRPr="00427639">
        <w:rPr>
          <w:rFonts w:ascii="Times New Roman" w:hAnsi="Times New Roman"/>
          <w:color w:val="000000" w:themeColor="text1"/>
          <w:sz w:val="20"/>
        </w:rPr>
        <w:t>(OC-SVM) [22] to isolate multivariate outliers across multi-channel metric streams. In deep learning, Donut [16] employed Variational Autoencoders (VAEs) over seasonal key performance indicators (KPIs), while OmniAnomaly [15] coupled VAEs with planar norma</w:t>
      </w:r>
      <w:r w:rsidRPr="00427639">
        <w:rPr>
          <w:rFonts w:ascii="Times New Roman" w:hAnsi="Times New Roman"/>
          <w:color w:val="000000" w:themeColor="text1"/>
          <w:sz w:val="20"/>
        </w:rPr>
        <w:t>lizing flows and gated recurrent units to capture stochastic temporal dependencies across multivariate metrics. Telemanom [23] implemented LSTM-based prediction error thresholding for spacecraft telemetry. While effective at continuous anomaly tracking, th</w:t>
      </w:r>
      <w:r w:rsidRPr="00427639">
        <w:rPr>
          <w:rFonts w:ascii="Times New Roman" w:hAnsi="Times New Roman"/>
          <w:color w:val="000000" w:themeColor="text1"/>
          <w:sz w:val="20"/>
        </w:rPr>
        <w:t>ese models lack topological context and cannot pinpoint the root cause in cascading failure scenarios.</w:t>
      </w:r>
      <w:r w:rsidRPr="00427639">
        <w:rPr>
          <w:rFonts w:ascii="Times New Roman" w:hAnsi="Times New Roman"/>
          <w:color w:val="000000" w:themeColor="text1"/>
          <w:sz w:val="20"/>
        </w:rPr>
        <w:br/>
      </w:r>
      <w:r w:rsidRPr="00427639">
        <w:rPr>
          <w:rFonts w:ascii="Times New Roman" w:hAnsi="Times New Roman"/>
          <w:color w:val="000000" w:themeColor="text1"/>
          <w:sz w:val="20"/>
        </w:rPr>
        <w:br/>
      </w:r>
      <w:r w:rsidRPr="00427639">
        <w:rPr>
          <w:rFonts w:ascii="Times New Roman" w:hAnsi="Times New Roman"/>
          <w:b/>
          <w:color w:val="000000" w:themeColor="text1"/>
          <w:sz w:val="20"/>
        </w:rPr>
        <w:t>Trace-Based and Service Dependency Modeling:</w:t>
      </w:r>
      <w:r w:rsidRPr="00427639">
        <w:rPr>
          <w:rFonts w:ascii="Times New Roman" w:hAnsi="Times New Roman"/>
          <w:color w:val="000000" w:themeColor="text1"/>
          <w:sz w:val="20"/>
        </w:rPr>
        <w:t xml:space="preserve"> Distributed tracing provides structural visibility into request flow paths. MicroRCA [24] leveraged trace l</w:t>
      </w:r>
      <w:r w:rsidRPr="00427639">
        <w:rPr>
          <w:rFonts w:ascii="Times New Roman" w:hAnsi="Times New Roman"/>
          <w:color w:val="000000" w:themeColor="text1"/>
          <w:sz w:val="20"/>
        </w:rPr>
        <w:t>atency attributes and host resource metrics to construct attributed service graphs, applying PageRank-based random walks for root-cause inference. TraceAnomaly [17] embedded trace paths into vector representations using a multi-dimensional VAE to detect an</w:t>
      </w:r>
      <w:r w:rsidRPr="00427639">
        <w:rPr>
          <w:rFonts w:ascii="Times New Roman" w:hAnsi="Times New Roman"/>
          <w:color w:val="000000" w:themeColor="text1"/>
          <w:sz w:val="20"/>
        </w:rPr>
        <w:t xml:space="preserve">omalous execution paths. MicroCause [25] (ACM WWW'25) </w:t>
      </w:r>
      <w:r w:rsidRPr="00427639">
        <w:rPr>
          <w:rFonts w:ascii="Times New Roman" w:hAnsi="Times New Roman"/>
          <w:color w:val="000000" w:themeColor="text1"/>
          <w:sz w:val="20"/>
        </w:rPr>
        <w:lastRenderedPageBreak/>
        <w:t>applied structural equation modeling and path analysis across metrics and trace topologies to identify causal paths. BARO [26] (ACM FSE'24) combined metric trend change-point detection with causal graph</w:t>
      </w:r>
      <w:r w:rsidRPr="00427639">
        <w:rPr>
          <w:rFonts w:ascii="Times New Roman" w:hAnsi="Times New Roman"/>
          <w:color w:val="000000" w:themeColor="text1"/>
          <w:sz w:val="20"/>
        </w:rPr>
        <w:t xml:space="preserve"> discovery to automate RCA.</w:t>
      </w:r>
      <w:r w:rsidRPr="00427639">
        <w:rPr>
          <w:rFonts w:ascii="Times New Roman" w:hAnsi="Times New Roman"/>
          <w:color w:val="000000" w:themeColor="text1"/>
          <w:sz w:val="20"/>
        </w:rPr>
        <w:br/>
      </w:r>
      <w:r w:rsidRPr="00427639">
        <w:rPr>
          <w:rFonts w:ascii="Times New Roman" w:hAnsi="Times New Roman"/>
          <w:color w:val="000000" w:themeColor="text1"/>
          <w:sz w:val="20"/>
        </w:rPr>
        <w:br/>
      </w:r>
      <w:r w:rsidRPr="00427639">
        <w:rPr>
          <w:rFonts w:ascii="Times New Roman" w:hAnsi="Times New Roman"/>
          <w:b/>
          <w:color w:val="000000" w:themeColor="text1"/>
          <w:sz w:val="20"/>
        </w:rPr>
        <w:t>Multimodal Telemetry Fusion &amp; Graph Neural Networks:</w:t>
      </w:r>
      <w:r w:rsidRPr="00427639">
        <w:rPr>
          <w:rFonts w:ascii="Times New Roman" w:hAnsi="Times New Roman"/>
          <w:color w:val="000000" w:themeColor="text1"/>
          <w:sz w:val="20"/>
        </w:rPr>
        <w:t xml:space="preserve"> Recent AIOps literature increasingly recognizes the necessity of multimodal telemetry fusion. Multi-source benchmarks such as RCAEval [18] and MSDS [27] have highlighted that</w:t>
      </w:r>
      <w:r w:rsidRPr="00427639">
        <w:rPr>
          <w:rFonts w:ascii="Times New Roman" w:hAnsi="Times New Roman"/>
          <w:color w:val="000000" w:themeColor="text1"/>
          <w:sz w:val="20"/>
        </w:rPr>
        <w:t xml:space="preserve"> unimodal systems exhibit fundamental blind spots. Graph Neural Networks (GNNs), particularly Graph Attention Networks (GAT [28], GATv2 [29]), have emerged as the premier architecture for modeling non-Euclidean service topologies. However, existing multimo</w:t>
      </w:r>
      <w:r w:rsidRPr="00427639">
        <w:rPr>
          <w:rFonts w:ascii="Times New Roman" w:hAnsi="Times New Roman"/>
          <w:color w:val="000000" w:themeColor="text1"/>
          <w:sz w:val="20"/>
        </w:rPr>
        <w:t>dal systems often apply naive concatenation or static late-stage score averaging, which fails to capture deep non-linear interactions across asynchronous logs, continuous metrics, and dynamic graph structures. Furthermore, existing research frequently negl</w:t>
      </w:r>
      <w:r w:rsidRPr="00427639">
        <w:rPr>
          <w:rFonts w:ascii="Times New Roman" w:hAnsi="Times New Roman"/>
          <w:color w:val="000000" w:themeColor="text1"/>
          <w:sz w:val="20"/>
        </w:rPr>
        <w:t>ects model calibration, yielding miscalibrated confidence scores that hamper autonomous remediation.</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3.2 Systematic Comparison of Methodologies</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Table I provides a detailed comparative survey evaluating representative benchmark frameworks across publication</w:t>
      </w:r>
      <w:r w:rsidRPr="00427639">
        <w:rPr>
          <w:rFonts w:ascii="Times New Roman" w:hAnsi="Times New Roman"/>
          <w:color w:val="000000" w:themeColor="text1"/>
          <w:sz w:val="20"/>
        </w:rPr>
        <w:t xml:space="preserve"> venues, ingested telemetry modalities, algorithmic backbones, primary operational strengths, architectural limitations, and relevance to the ORCA framework.</w:t>
      </w:r>
    </w:p>
    <w:tbl>
      <w:tblPr>
        <w:tblW w:w="0" w:type="auto"/>
        <w:jc w:val="center"/>
        <w:tblLook w:val="04A0" w:firstRow="1" w:lastRow="0" w:firstColumn="1" w:lastColumn="0" w:noHBand="0" w:noVBand="1"/>
      </w:tblPr>
      <w:tblGrid>
        <w:gridCol w:w="1539"/>
        <w:gridCol w:w="1209"/>
        <w:gridCol w:w="1268"/>
        <w:gridCol w:w="1775"/>
        <w:gridCol w:w="1643"/>
        <w:gridCol w:w="1648"/>
        <w:gridCol w:w="1278"/>
      </w:tblGrid>
      <w:tr w:rsidR="00427639" w:rsidRPr="00427639">
        <w:trPr>
          <w:jc w:val="center"/>
        </w:trPr>
        <w:tc>
          <w:tcPr>
            <w:tcW w:w="1584"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Reference / Model</w:t>
            </w:r>
          </w:p>
        </w:tc>
        <w:tc>
          <w:tcPr>
            <w:tcW w:w="1296"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Venue &amp; Year</w:t>
            </w:r>
          </w:p>
        </w:tc>
        <w:tc>
          <w:tcPr>
            <w:tcW w:w="1296"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Modalities</w:t>
            </w:r>
          </w:p>
        </w:tc>
        <w:tc>
          <w:tcPr>
            <w:tcW w:w="1872"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Algorithmic Architecture</w:t>
            </w:r>
          </w:p>
        </w:tc>
        <w:tc>
          <w:tcPr>
            <w:tcW w:w="1728"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Key Strengths</w:t>
            </w:r>
          </w:p>
        </w:tc>
        <w:tc>
          <w:tcPr>
            <w:tcW w:w="1728"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Operational Limit</w:t>
            </w:r>
            <w:r w:rsidRPr="00427639">
              <w:rPr>
                <w:rFonts w:ascii="Times New Roman" w:hAnsi="Times New Roman"/>
                <w:b/>
                <w:color w:val="000000" w:themeColor="text1"/>
                <w:sz w:val="19"/>
              </w:rPr>
              <w:t>ations</w:t>
            </w:r>
          </w:p>
        </w:tc>
        <w:tc>
          <w:tcPr>
            <w:tcW w:w="1296"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Relevance</w:t>
            </w:r>
          </w:p>
        </w:tc>
      </w:tr>
      <w:tr w:rsidR="00427639" w:rsidRPr="00427639">
        <w:trPr>
          <w:jc w:val="center"/>
        </w:trPr>
        <w:tc>
          <w:tcPr>
            <w:tcW w:w="1584"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DeepLog</w:t>
            </w:r>
            <w:proofErr w:type="spellEnd"/>
            <w:r w:rsidRPr="00427639">
              <w:rPr>
                <w:rFonts w:ascii="Times New Roman" w:hAnsi="Times New Roman"/>
                <w:color w:val="000000" w:themeColor="text1"/>
                <w:sz w:val="18"/>
              </w:rPr>
              <w:t xml:space="preserve"> (Du et al.) [12]</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ACM CCS 2017</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Logs</w:t>
            </w:r>
          </w:p>
        </w:tc>
        <w:tc>
          <w:tcPr>
            <w:tcW w:w="187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LSTM Sequence Model</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Models execution key paths; detects invalid transitions</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Blind to silent metric saturation &amp; resource contention</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Log sequence parsing baseline</w:t>
            </w:r>
          </w:p>
        </w:tc>
      </w:tr>
      <w:tr w:rsidR="00427639" w:rsidRPr="00427639">
        <w:trPr>
          <w:jc w:val="center"/>
        </w:trPr>
        <w:tc>
          <w:tcPr>
            <w:tcW w:w="1584"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LogAnomaly</w:t>
            </w:r>
            <w:proofErr w:type="spellEnd"/>
            <w:r w:rsidRPr="00427639">
              <w:rPr>
                <w:rFonts w:ascii="Times New Roman" w:hAnsi="Times New Roman"/>
                <w:color w:val="000000" w:themeColor="text1"/>
                <w:sz w:val="18"/>
              </w:rPr>
              <w:t xml:space="preserve"> (</w:t>
            </w:r>
            <w:proofErr w:type="spellStart"/>
            <w:r w:rsidRPr="00427639">
              <w:rPr>
                <w:rFonts w:ascii="Times New Roman" w:hAnsi="Times New Roman"/>
                <w:color w:val="000000" w:themeColor="text1"/>
                <w:sz w:val="18"/>
              </w:rPr>
              <w:t>Meng</w:t>
            </w:r>
            <w:proofErr w:type="spellEnd"/>
            <w:r w:rsidRPr="00427639">
              <w:rPr>
                <w:rFonts w:ascii="Times New Roman" w:hAnsi="Times New Roman"/>
                <w:color w:val="000000" w:themeColor="text1"/>
                <w:sz w:val="18"/>
              </w:rPr>
              <w:t xml:space="preserve"> et al.) [13]</w:t>
            </w:r>
          </w:p>
        </w:tc>
        <w:tc>
          <w:tcPr>
            <w:tcW w:w="1296"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IJCAI 2019</w:t>
            </w:r>
          </w:p>
        </w:tc>
        <w:tc>
          <w:tcPr>
            <w:tcW w:w="1296"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Logs</w:t>
            </w:r>
          </w:p>
        </w:tc>
        <w:tc>
          <w:tcPr>
            <w:tcW w:w="187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Template2Vec + LSTM</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Semantic embeddings; handles unstable log keys</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Lacks continuous metric context &amp; topology</w:t>
            </w:r>
          </w:p>
        </w:tc>
        <w:tc>
          <w:tcPr>
            <w:tcW w:w="1296"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Semantic log tokenization foundation</w:t>
            </w:r>
          </w:p>
        </w:tc>
      </w:tr>
      <w:tr w:rsidR="00427639" w:rsidRPr="00427639">
        <w:trPr>
          <w:jc w:val="center"/>
        </w:trPr>
        <w:tc>
          <w:tcPr>
            <w:tcW w:w="1584"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OmniAnomaly</w:t>
            </w:r>
            <w:proofErr w:type="spellEnd"/>
            <w:r w:rsidRPr="00427639">
              <w:rPr>
                <w:rFonts w:ascii="Times New Roman" w:hAnsi="Times New Roman"/>
                <w:color w:val="000000" w:themeColor="text1"/>
                <w:sz w:val="18"/>
              </w:rPr>
              <w:t xml:space="preserve"> (Su et al.) [15]</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ACM KDD 2019</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Metrics</w:t>
            </w:r>
          </w:p>
        </w:tc>
        <w:tc>
          <w:tcPr>
            <w:tcW w:w="187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Stochastic RNN + VAE + Normalizing Flows</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Captures non-linear temporal correlations across metrics</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Compute-intensive; unable to localize root cause in DAG</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Multivariate continuous metric baseline</w:t>
            </w:r>
          </w:p>
        </w:tc>
      </w:tr>
      <w:tr w:rsidR="00427639" w:rsidRPr="00427639">
        <w:trPr>
          <w:jc w:val="center"/>
        </w:trPr>
        <w:tc>
          <w:tcPr>
            <w:tcW w:w="1584"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IsolationForest</w:t>
            </w:r>
            <w:proofErr w:type="spellEnd"/>
            <w:r w:rsidRPr="00427639">
              <w:rPr>
                <w:rFonts w:ascii="Times New Roman" w:hAnsi="Times New Roman"/>
                <w:color w:val="000000" w:themeColor="text1"/>
                <w:sz w:val="18"/>
              </w:rPr>
              <w:t xml:space="preserve"> (Liu et al.) [14]</w:t>
            </w:r>
          </w:p>
        </w:tc>
        <w:tc>
          <w:tcPr>
            <w:tcW w:w="1296"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IEEE ICDM 2008</w:t>
            </w:r>
          </w:p>
        </w:tc>
        <w:tc>
          <w:tcPr>
            <w:tcW w:w="1296"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Metrics</w:t>
            </w:r>
          </w:p>
        </w:tc>
        <w:tc>
          <w:tcPr>
            <w:tcW w:w="187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Tree Partitioning</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 xml:space="preserve">Fast unsupervised outlier </w:t>
            </w:r>
            <w:r w:rsidRPr="00427639">
              <w:rPr>
                <w:rFonts w:ascii="Times New Roman" w:hAnsi="Times New Roman"/>
                <w:color w:val="000000" w:themeColor="text1"/>
                <w:sz w:val="18"/>
              </w:rPr>
              <w:t>isolation; low compute overhead</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No temporal context; false alarms during traffic surges</w:t>
            </w:r>
          </w:p>
        </w:tc>
        <w:tc>
          <w:tcPr>
            <w:tcW w:w="1296"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Primary unsupervised empirical baseline</w:t>
            </w:r>
          </w:p>
        </w:tc>
      </w:tr>
      <w:tr w:rsidR="00427639" w:rsidRPr="00427639">
        <w:trPr>
          <w:jc w:val="center"/>
        </w:trPr>
        <w:tc>
          <w:tcPr>
            <w:tcW w:w="1584"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XGBoost</w:t>
            </w:r>
            <w:proofErr w:type="spellEnd"/>
            <w:r w:rsidRPr="00427639">
              <w:rPr>
                <w:rFonts w:ascii="Times New Roman" w:hAnsi="Times New Roman"/>
                <w:color w:val="000000" w:themeColor="text1"/>
                <w:sz w:val="18"/>
              </w:rPr>
              <w:t xml:space="preserve"> (Chen &amp; </w:t>
            </w:r>
            <w:proofErr w:type="spellStart"/>
            <w:r w:rsidRPr="00427639">
              <w:rPr>
                <w:rFonts w:ascii="Times New Roman" w:hAnsi="Times New Roman"/>
                <w:color w:val="000000" w:themeColor="text1"/>
                <w:sz w:val="18"/>
              </w:rPr>
              <w:t>Guestrin</w:t>
            </w:r>
            <w:proofErr w:type="spellEnd"/>
            <w:r w:rsidRPr="00427639">
              <w:rPr>
                <w:rFonts w:ascii="Times New Roman" w:hAnsi="Times New Roman"/>
                <w:color w:val="000000" w:themeColor="text1"/>
                <w:sz w:val="18"/>
              </w:rPr>
              <w:t>) [30]</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ACM KDD 2016</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Metrics (Flat)</w:t>
            </w:r>
          </w:p>
        </w:tc>
        <w:tc>
          <w:tcPr>
            <w:tcW w:w="187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Gradient Boosted Trees</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Robust feature selection; high classification</w:t>
            </w:r>
            <w:r w:rsidRPr="00427639">
              <w:rPr>
                <w:rFonts w:ascii="Times New Roman" w:hAnsi="Times New Roman"/>
                <w:color w:val="000000" w:themeColor="text1"/>
                <w:sz w:val="18"/>
              </w:rPr>
              <w:t xml:space="preserve"> power</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No recurrent memory or invocation graph modeling</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Supervised tabular empirical baseline</w:t>
            </w:r>
          </w:p>
        </w:tc>
      </w:tr>
      <w:tr w:rsidR="00427639" w:rsidRPr="00427639">
        <w:trPr>
          <w:jc w:val="center"/>
        </w:trPr>
        <w:tc>
          <w:tcPr>
            <w:tcW w:w="1584"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TraceAnomaly</w:t>
            </w:r>
            <w:proofErr w:type="spellEnd"/>
            <w:r w:rsidRPr="00427639">
              <w:rPr>
                <w:rFonts w:ascii="Times New Roman" w:hAnsi="Times New Roman"/>
                <w:color w:val="000000" w:themeColor="text1"/>
                <w:sz w:val="18"/>
              </w:rPr>
              <w:t xml:space="preserve"> (Liu et al.) [17]</w:t>
            </w:r>
          </w:p>
        </w:tc>
        <w:tc>
          <w:tcPr>
            <w:tcW w:w="1296"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IEEE ICSE 2020</w:t>
            </w:r>
          </w:p>
        </w:tc>
        <w:tc>
          <w:tcPr>
            <w:tcW w:w="1296"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Traces</w:t>
            </w:r>
          </w:p>
        </w:tc>
        <w:tc>
          <w:tcPr>
            <w:tcW w:w="187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Path2Vec + VAE</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Captures execution path structures and latencies</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 xml:space="preserve">Omits host resource data; cannot diagnose </w:t>
            </w:r>
            <w:r w:rsidRPr="00427639">
              <w:rPr>
                <w:rFonts w:ascii="Times New Roman" w:hAnsi="Times New Roman"/>
                <w:color w:val="000000" w:themeColor="text1"/>
                <w:sz w:val="18"/>
              </w:rPr>
              <w:t>root cause</w:t>
            </w:r>
          </w:p>
        </w:tc>
        <w:tc>
          <w:tcPr>
            <w:tcW w:w="1296"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Distributed trace modeling foundation</w:t>
            </w:r>
          </w:p>
        </w:tc>
      </w:tr>
      <w:tr w:rsidR="00427639" w:rsidRPr="00427639">
        <w:trPr>
          <w:jc w:val="center"/>
        </w:trPr>
        <w:tc>
          <w:tcPr>
            <w:tcW w:w="1584"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MicroCause</w:t>
            </w:r>
            <w:proofErr w:type="spellEnd"/>
            <w:r w:rsidRPr="00427639">
              <w:rPr>
                <w:rFonts w:ascii="Times New Roman" w:hAnsi="Times New Roman"/>
                <w:color w:val="000000" w:themeColor="text1"/>
                <w:sz w:val="18"/>
              </w:rPr>
              <w:t xml:space="preserve"> (Pham et al.) [25]</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ACM WWW 2025</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Metrics + Traces</w:t>
            </w:r>
          </w:p>
        </w:tc>
        <w:tc>
          <w:tcPr>
            <w:tcW w:w="187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Path Analysis + Causal Inference</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Traces causal anomaly propagation across microservices</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High computational complexity; sensitive to DAG noise</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State-of-the-art literature benchmark</w:t>
            </w:r>
          </w:p>
        </w:tc>
      </w:tr>
      <w:tr w:rsidR="00427639" w:rsidRPr="00427639">
        <w:trPr>
          <w:jc w:val="center"/>
        </w:trPr>
        <w:tc>
          <w:tcPr>
            <w:tcW w:w="1584"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lastRenderedPageBreak/>
              <w:t>BARO (Zhang et al.) [26]</w:t>
            </w:r>
          </w:p>
        </w:tc>
        <w:tc>
          <w:tcPr>
            <w:tcW w:w="1296"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ACM FSE 2024</w:t>
            </w:r>
          </w:p>
        </w:tc>
        <w:tc>
          <w:tcPr>
            <w:tcW w:w="1296"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Metrics</w:t>
            </w:r>
          </w:p>
        </w:tc>
        <w:tc>
          <w:tcPr>
            <w:tcW w:w="187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Change-Point + Causal Discovery</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Robust metric trend analysis; effective root cause ranking</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Omits log error tokens; vulnerable to propagation lag</w:t>
            </w:r>
          </w:p>
        </w:tc>
        <w:tc>
          <w:tcPr>
            <w:tcW w:w="1296"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Competitive RCA literature</w:t>
            </w:r>
            <w:r w:rsidRPr="00427639">
              <w:rPr>
                <w:rFonts w:ascii="Times New Roman" w:hAnsi="Times New Roman"/>
                <w:color w:val="000000" w:themeColor="text1"/>
                <w:sz w:val="18"/>
              </w:rPr>
              <w:t xml:space="preserve"> baseline</w:t>
            </w:r>
          </w:p>
        </w:tc>
      </w:tr>
      <w:tr w:rsidR="00427639" w:rsidRPr="00427639">
        <w:trPr>
          <w:jc w:val="center"/>
        </w:trPr>
        <w:tc>
          <w:tcPr>
            <w:tcW w:w="1584"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ORCA (Proposed)</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Current Work (2026)</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Logs + Metrics + Traces</w:t>
            </w:r>
          </w:p>
        </w:tc>
        <w:tc>
          <w:tcPr>
            <w:tcW w:w="187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TCN-BiGRU + Log Transformer + GATv2 + Cross-Attention</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Full tri-modal fusion; dynamic graph attention; calibrated heads</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Requires synchronized multi-source telemetry data</w:t>
            </w:r>
          </w:p>
        </w:tc>
        <w:tc>
          <w:tcPr>
            <w:tcW w:w="1296"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 xml:space="preserve">Complete </w:t>
            </w:r>
            <w:r w:rsidRPr="00427639">
              <w:rPr>
                <w:rFonts w:ascii="Times New Roman" w:hAnsi="Times New Roman"/>
                <w:color w:val="000000" w:themeColor="text1"/>
                <w:sz w:val="18"/>
              </w:rPr>
              <w:t>end-to-end implemented framework</w:t>
            </w:r>
          </w:p>
        </w:tc>
      </w:tr>
    </w:tbl>
    <w:p w:rsidR="002D3B39" w:rsidRPr="00427639" w:rsidRDefault="002D3B39">
      <w:pPr>
        <w:spacing w:after="120"/>
        <w:rPr>
          <w:color w:val="000000" w:themeColor="text1"/>
        </w:rPr>
      </w:pP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3.3 Specific Research Gap Addressed</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Despite extensive literature in AIOps, three critical research gaps persist:</w:t>
      </w:r>
      <w:r w:rsidRPr="00427639">
        <w:rPr>
          <w:rFonts w:ascii="Times New Roman" w:hAnsi="Times New Roman"/>
          <w:color w:val="000000" w:themeColor="text1"/>
          <w:sz w:val="20"/>
        </w:rPr>
        <w:br/>
        <w:t xml:space="preserve">1. </w:t>
      </w:r>
      <w:r w:rsidRPr="00427639">
        <w:rPr>
          <w:rFonts w:ascii="Times New Roman" w:hAnsi="Times New Roman"/>
          <w:b/>
          <w:color w:val="000000" w:themeColor="text1"/>
          <w:sz w:val="20"/>
        </w:rPr>
        <w:t>Absence of Unified Tri-Modal Reasoning:</w:t>
      </w:r>
      <w:r w:rsidRPr="00427639">
        <w:rPr>
          <w:rFonts w:ascii="Times New Roman" w:hAnsi="Times New Roman"/>
          <w:color w:val="000000" w:themeColor="text1"/>
          <w:sz w:val="20"/>
        </w:rPr>
        <w:t xml:space="preserve"> Prior works predominantly restrict their scope to one or two modalities. A joint framework that dynamically correlates continuous time series (metrics), discrete semantic tokens (logs), and non-Euclidean graph topologies (traces) via attention-based seque</w:t>
      </w:r>
      <w:r w:rsidRPr="00427639">
        <w:rPr>
          <w:rFonts w:ascii="Times New Roman" w:hAnsi="Times New Roman"/>
          <w:color w:val="000000" w:themeColor="text1"/>
          <w:sz w:val="20"/>
        </w:rPr>
        <w:t>nce modeling has remained unaddressed.</w:t>
      </w:r>
      <w:r w:rsidRPr="00427639">
        <w:rPr>
          <w:rFonts w:ascii="Times New Roman" w:hAnsi="Times New Roman"/>
          <w:color w:val="000000" w:themeColor="text1"/>
          <w:sz w:val="20"/>
        </w:rPr>
        <w:br/>
        <w:t xml:space="preserve">2. </w:t>
      </w:r>
      <w:r w:rsidRPr="00427639">
        <w:rPr>
          <w:rFonts w:ascii="Times New Roman" w:hAnsi="Times New Roman"/>
          <w:b/>
          <w:color w:val="000000" w:themeColor="text1"/>
          <w:sz w:val="20"/>
        </w:rPr>
        <w:t>Topological Disconnect in Root-Cause Localization:</w:t>
      </w:r>
      <w:r w:rsidRPr="00427639">
        <w:rPr>
          <w:rFonts w:ascii="Times New Roman" w:hAnsi="Times New Roman"/>
          <w:color w:val="000000" w:themeColor="text1"/>
          <w:sz w:val="20"/>
        </w:rPr>
        <w:t xml:space="preserve"> Metric-only and log-only classifiers suffer complete failure in identifying the primary culprit service because cascading failures rapidly propagate resource satur</w:t>
      </w:r>
      <w:r w:rsidRPr="00427639">
        <w:rPr>
          <w:rFonts w:ascii="Times New Roman" w:hAnsi="Times New Roman"/>
          <w:color w:val="000000" w:themeColor="text1"/>
          <w:sz w:val="20"/>
        </w:rPr>
        <w:t>ation and errors across dependencies. Root-cause localization must be conditioned explicitly on the runtime invocation graph.</w:t>
      </w:r>
      <w:r w:rsidRPr="00427639">
        <w:rPr>
          <w:rFonts w:ascii="Times New Roman" w:hAnsi="Times New Roman"/>
          <w:color w:val="000000" w:themeColor="text1"/>
          <w:sz w:val="20"/>
        </w:rPr>
        <w:br/>
        <w:t xml:space="preserve">3. </w:t>
      </w:r>
      <w:r w:rsidRPr="00427639">
        <w:rPr>
          <w:rFonts w:ascii="Times New Roman" w:hAnsi="Times New Roman"/>
          <w:b/>
          <w:color w:val="000000" w:themeColor="text1"/>
          <w:sz w:val="20"/>
        </w:rPr>
        <w:t>Severe Probability Miscalibration in AIOps:</w:t>
      </w:r>
      <w:r w:rsidRPr="00427639">
        <w:rPr>
          <w:rFonts w:ascii="Times New Roman" w:hAnsi="Times New Roman"/>
          <w:color w:val="000000" w:themeColor="text1"/>
          <w:sz w:val="20"/>
        </w:rPr>
        <w:t xml:space="preserve"> Modern deep learning models output overconfident, miscalibrated probability distrib</w:t>
      </w:r>
      <w:r w:rsidRPr="00427639">
        <w:rPr>
          <w:rFonts w:ascii="Times New Roman" w:hAnsi="Times New Roman"/>
          <w:color w:val="000000" w:themeColor="text1"/>
          <w:sz w:val="20"/>
        </w:rPr>
        <w:t>utions. Without post-hoc calibration, predictive scores cannot be safely integrated into automated SRE remediation workflows (e.g., automated pod restart or traffic rerouting).</w:t>
      </w:r>
    </w:p>
    <w:p w:rsidR="002D3B39" w:rsidRPr="00427639" w:rsidRDefault="00626F8C">
      <w:pPr>
        <w:keepNext/>
        <w:spacing w:before="280" w:after="80"/>
        <w:rPr>
          <w:color w:val="000000" w:themeColor="text1"/>
        </w:rPr>
      </w:pPr>
      <w:r w:rsidRPr="00427639">
        <w:rPr>
          <w:rFonts w:ascii="Times New Roman" w:hAnsi="Times New Roman"/>
          <w:b/>
          <w:color w:val="000000" w:themeColor="text1"/>
          <w:sz w:val="26"/>
        </w:rPr>
        <w:t>4. METHODOLOGY</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4.1 System Architecture and End-to-End Workflow</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Figure 1 illustr</w:t>
      </w:r>
      <w:r w:rsidRPr="00427639">
        <w:rPr>
          <w:rFonts w:ascii="Times New Roman" w:hAnsi="Times New Roman"/>
          <w:color w:val="000000" w:themeColor="text1"/>
          <w:sz w:val="20"/>
        </w:rPr>
        <w:t xml:space="preserve">ates the high-level system architecture of ORCA. The architecture processes raw telemetry through five standardized stages: (1) Multimodal Telemetry Ingestion and Synchronization, (2) Deep Modality-Specific Encoders, (3) Multimodal Cross-Attention Fusion, </w:t>
      </w:r>
      <w:r w:rsidRPr="00427639">
        <w:rPr>
          <w:rFonts w:ascii="Times New Roman" w:hAnsi="Times New Roman"/>
          <w:color w:val="000000" w:themeColor="text1"/>
          <w:sz w:val="20"/>
        </w:rPr>
        <w:t>(4) Multi-Task Decision Heads, and (5) Post-Hoc Probability Calibration and Operational Serving.</w:t>
      </w:r>
    </w:p>
    <w:p w:rsidR="002D3B39" w:rsidRPr="00427639" w:rsidRDefault="00626F8C">
      <w:pPr>
        <w:spacing w:before="160" w:after="60"/>
        <w:jc w:val="center"/>
        <w:rPr>
          <w:color w:val="000000" w:themeColor="text1"/>
        </w:rPr>
      </w:pPr>
      <w:r w:rsidRPr="00427639">
        <w:rPr>
          <w:noProof/>
          <w:color w:val="000000" w:themeColor="text1"/>
          <w:lang w:val="en-IN" w:eastAsia="en-IN"/>
        </w:rPr>
        <w:drawing>
          <wp:inline distT="0" distB="0" distL="0" distR="0" wp14:anchorId="70BD8CDC" wp14:editId="32D1C6C5">
            <wp:extent cx="5669280" cy="3222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ca_architecture.png"/>
                    <pic:cNvPicPr/>
                  </pic:nvPicPr>
                  <pic:blipFill>
                    <a:blip r:embed="rId8"/>
                    <a:stretch>
                      <a:fillRect/>
                    </a:stretch>
                  </pic:blipFill>
                  <pic:spPr>
                    <a:xfrm>
                      <a:off x="0" y="0"/>
                      <a:ext cx="5669280" cy="3222109"/>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lastRenderedPageBreak/>
        <w:t>Figure 1: High-level architectural dataflow of the ORCA framework, illustrating telemetry ingestion, deep modality encoders, multimodal cross-attention fusio</w:t>
      </w:r>
      <w:r w:rsidRPr="00427639">
        <w:rPr>
          <w:rFonts w:ascii="Times New Roman" w:hAnsi="Times New Roman"/>
          <w:i/>
          <w:color w:val="000000" w:themeColor="text1"/>
          <w:sz w:val="18"/>
        </w:rPr>
        <w:t>n, multi-task heads, and serving interfaces.</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4.2 Mathematical Problem Formulation</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Let a cloud-native microservice architecture consist of N interdependent services:</w:t>
      </w:r>
      <w:r w:rsidRPr="00427639">
        <w:rPr>
          <w:rFonts w:ascii="Times New Roman" w:hAnsi="Times New Roman"/>
          <w:color w:val="000000" w:themeColor="text1"/>
          <w:sz w:val="20"/>
        </w:rPr>
        <w:br/>
        <w:t>S = {s_1, s_2, ..., s_N}. In our deployment on the Google Online Boutique benchmark, N = 10</w:t>
      </w:r>
      <w:r w:rsidRPr="00427639">
        <w:rPr>
          <w:rFonts w:ascii="Times New Roman" w:hAnsi="Times New Roman"/>
          <w:color w:val="000000" w:themeColor="text1"/>
          <w:sz w:val="20"/>
        </w:rPr>
        <w:t>, comprising: {adservice, cartservice, checkoutservice, currencyservice, emailservice, frontend, paymentservice, productcatalogservice, recommendationservice, shippingservice}.</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For any synchronized observation window W_t of duration T = 15 seconds, the mul</w:t>
      </w:r>
      <w:r w:rsidRPr="00427639">
        <w:rPr>
          <w:rFonts w:ascii="Times New Roman" w:hAnsi="Times New Roman"/>
          <w:color w:val="000000" w:themeColor="text1"/>
          <w:sz w:val="20"/>
        </w:rPr>
        <w:t>timodal telemetry input is defined as the tuple:</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t>W_t = ( M_t,  L_t,  G_t )</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(1)</w:t>
            </w:r>
          </w:p>
        </w:tc>
      </w:tr>
    </w:tbl>
    <w:p w:rsidR="002D3B39" w:rsidRPr="00427639" w:rsidRDefault="002D3B39">
      <w:pPr>
        <w:spacing w:after="40"/>
        <w:rPr>
          <w:color w:val="000000" w:themeColor="text1"/>
        </w:rPr>
      </w:pPr>
    </w:p>
    <w:p w:rsidR="002D3B39" w:rsidRPr="00427639" w:rsidRDefault="00626F8C">
      <w:pPr>
        <w:spacing w:after="90"/>
        <w:jc w:val="both"/>
        <w:rPr>
          <w:color w:val="000000" w:themeColor="text1"/>
        </w:rPr>
      </w:pPr>
      <w:r w:rsidRPr="00427639">
        <w:rPr>
          <w:rFonts w:ascii="Times New Roman" w:hAnsi="Times New Roman"/>
          <w:color w:val="000000" w:themeColor="text1"/>
          <w:sz w:val="20"/>
        </w:rPr>
        <w:t xml:space="preserve">where M_t in R^(T x C) represents continuous metrics sampled at 1Hz across C = 70 canonical Prometheus channels (CPU, memory, disk, network, error rates); L_t = (t_t, s_t) </w:t>
      </w:r>
      <w:r w:rsidRPr="00427639">
        <w:rPr>
          <w:rFonts w:ascii="Times New Roman" w:hAnsi="Times New Roman"/>
          <w:color w:val="000000" w:themeColor="text1"/>
          <w:sz w:val="20"/>
        </w:rPr>
        <w:t>represents discrete system logs comprising token sequence t_t in N^L (L = 64, |V| = 500) and service keyword rates s_t in R^20; and G_t = (V_t, E_t, X_t, A_t, u_t) represents the distributed trace dependency graph with node feature matrix X_t in R^(N x 27)</w:t>
      </w:r>
      <w:r w:rsidRPr="00427639">
        <w:rPr>
          <w:rFonts w:ascii="Times New Roman" w:hAnsi="Times New Roman"/>
          <w:color w:val="000000" w:themeColor="text1"/>
          <w:sz w:val="20"/>
        </w:rPr>
        <w:t>, directed adjacency matrix A_t in R^(N x N) normalized by out-degree, and global trace statistics u_t in R^4.</w:t>
      </w:r>
    </w:p>
    <w:p w:rsidR="002D3B39" w:rsidRPr="00427639" w:rsidRDefault="00626F8C">
      <w:pPr>
        <w:spacing w:before="160" w:after="60"/>
        <w:jc w:val="center"/>
        <w:rPr>
          <w:color w:val="000000" w:themeColor="text1"/>
        </w:rPr>
      </w:pPr>
      <w:r w:rsidRPr="00427639">
        <w:rPr>
          <w:noProof/>
          <w:color w:val="000000" w:themeColor="text1"/>
          <w:lang w:val="en-IN" w:eastAsia="en-IN"/>
        </w:rPr>
        <w:drawing>
          <wp:inline distT="0" distB="0" distL="0" distR="0" wp14:anchorId="34C3405E" wp14:editId="418936F5">
            <wp:extent cx="5669280" cy="28142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ca_multimodal_fusion.png"/>
                    <pic:cNvPicPr/>
                  </pic:nvPicPr>
                  <pic:blipFill>
                    <a:blip r:embed="rId9"/>
                    <a:stretch>
                      <a:fillRect/>
                    </a:stretch>
                  </pic:blipFill>
                  <pic:spPr>
                    <a:xfrm>
                      <a:off x="0" y="0"/>
                      <a:ext cx="5669280" cy="2814247"/>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Figure 2: Detailed tensor flow diagram depicting modality encoding, sequence stacking, multi-head cross-attention fusion, and graph-conditioned</w:t>
      </w:r>
      <w:r w:rsidRPr="00427639">
        <w:rPr>
          <w:rFonts w:ascii="Times New Roman" w:hAnsi="Times New Roman"/>
          <w:i/>
          <w:color w:val="000000" w:themeColor="text1"/>
          <w:sz w:val="18"/>
        </w:rPr>
        <w:t xml:space="preserve"> root-cause node projection.</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4.3 Deep Modality-Specific Encoders</w:t>
      </w:r>
    </w:p>
    <w:p w:rsidR="002D3B39" w:rsidRPr="00427639" w:rsidRDefault="00626F8C">
      <w:pPr>
        <w:keepNext/>
        <w:spacing w:before="140" w:after="40"/>
        <w:rPr>
          <w:color w:val="000000" w:themeColor="text1"/>
        </w:rPr>
      </w:pPr>
      <w:r w:rsidRPr="00427639">
        <w:rPr>
          <w:rFonts w:ascii="Times New Roman" w:hAnsi="Times New Roman"/>
          <w:b/>
          <w:color w:val="000000" w:themeColor="text1"/>
          <w:sz w:val="21"/>
        </w:rPr>
        <w:t>4.3.1 Metric Temporal Encoder (TCN + Bi-GRU)</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 xml:space="preserve">Continuous metric time series exhibit both high-frequency localized spikes and long-term trends. We employ a 1D Dilated Causal Temporal </w:t>
      </w:r>
      <w:r w:rsidRPr="00427639">
        <w:rPr>
          <w:rFonts w:ascii="Times New Roman" w:hAnsi="Times New Roman"/>
          <w:color w:val="000000" w:themeColor="text1"/>
          <w:sz w:val="20"/>
        </w:rPr>
        <w:t>Convolutional Network (TCN) coupled with a Bidirectional GRU. The 1D causal dilated convolution at step tau with filter f_k of size K and dilation factor d is given by:</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t>h_tcn(tau) = sum_{k=0}^{K-1} f_k * M_t(tau - d * k)</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(2)</w:t>
            </w:r>
          </w:p>
        </w:tc>
      </w:tr>
    </w:tbl>
    <w:p w:rsidR="002D3B39" w:rsidRPr="00427639" w:rsidRDefault="002D3B39">
      <w:pPr>
        <w:spacing w:after="40"/>
        <w:rPr>
          <w:color w:val="000000" w:themeColor="text1"/>
        </w:rPr>
      </w:pPr>
    </w:p>
    <w:p w:rsidR="002D3B39" w:rsidRPr="00427639" w:rsidRDefault="00626F8C">
      <w:pPr>
        <w:spacing w:after="90"/>
        <w:jc w:val="both"/>
        <w:rPr>
          <w:color w:val="000000" w:themeColor="text1"/>
        </w:rPr>
      </w:pPr>
      <w:r w:rsidRPr="00427639">
        <w:rPr>
          <w:rFonts w:ascii="Times New Roman" w:hAnsi="Times New Roman"/>
          <w:color w:val="000000" w:themeColor="text1"/>
          <w:sz w:val="20"/>
        </w:rPr>
        <w:t>We stack two dilated convolut</w:t>
      </w:r>
      <w:r w:rsidRPr="00427639">
        <w:rPr>
          <w:rFonts w:ascii="Times New Roman" w:hAnsi="Times New Roman"/>
          <w:color w:val="000000" w:themeColor="text1"/>
          <w:sz w:val="20"/>
        </w:rPr>
        <w:t>ional layers with dilation factors d in {1, 2}, kernel size K = 3, batch normalization, and GELU non-linearities. The extracted temporal features are then modeled by a Bidirectional GRU (Bi-GRU):</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lastRenderedPageBreak/>
              <w:t>h_fwd,tau = GRU_fwd(H_tcn[tau], h_fwd,tau-1),    h_bwd,tau =</w:t>
            </w:r>
            <w:r w:rsidRPr="00427639">
              <w:rPr>
                <w:rFonts w:ascii="Cambria Math" w:hAnsi="Cambria Math"/>
                <w:i/>
                <w:color w:val="000000" w:themeColor="text1"/>
                <w:sz w:val="21"/>
              </w:rPr>
              <w:t xml:space="preserve"> GRU_bwd(H_tcn[tau], h_bwd,tau+1)</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(3)</w:t>
            </w:r>
          </w:p>
        </w:tc>
      </w:tr>
    </w:tbl>
    <w:p w:rsidR="002D3B39" w:rsidRPr="00427639" w:rsidRDefault="002D3B39">
      <w:pPr>
        <w:spacing w:after="40"/>
        <w:rPr>
          <w:color w:val="000000" w:themeColor="text1"/>
        </w:rPr>
      </w:pPr>
    </w:p>
    <w:p w:rsidR="002D3B39" w:rsidRPr="00427639" w:rsidRDefault="00626F8C">
      <w:pPr>
        <w:spacing w:after="90"/>
        <w:jc w:val="both"/>
        <w:rPr>
          <w:color w:val="000000" w:themeColor="text1"/>
        </w:rPr>
      </w:pPr>
      <w:r w:rsidRPr="00427639">
        <w:rPr>
          <w:rFonts w:ascii="Times New Roman" w:hAnsi="Times New Roman"/>
          <w:color w:val="000000" w:themeColor="text1"/>
          <w:sz w:val="20"/>
        </w:rPr>
        <w:t>The final forward and initial backward hidden states are concatenated and projected to the latent embedding dimension D = 64:</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t>z_metric = GELU( W_m * [ h_fwd,T  ||  h_bwd,1 ] + b_m ) in R^D</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(4)</w:t>
            </w:r>
          </w:p>
        </w:tc>
      </w:tr>
    </w:tbl>
    <w:p w:rsidR="002D3B39" w:rsidRPr="00427639" w:rsidRDefault="002D3B39">
      <w:pPr>
        <w:spacing w:after="40"/>
        <w:rPr>
          <w:color w:val="000000" w:themeColor="text1"/>
        </w:rPr>
      </w:pPr>
    </w:p>
    <w:p w:rsidR="002D3B39" w:rsidRPr="00427639" w:rsidRDefault="00626F8C">
      <w:pPr>
        <w:keepNext/>
        <w:spacing w:before="140" w:after="40"/>
        <w:rPr>
          <w:color w:val="000000" w:themeColor="text1"/>
        </w:rPr>
      </w:pPr>
      <w:r w:rsidRPr="00427639">
        <w:rPr>
          <w:rFonts w:ascii="Times New Roman" w:hAnsi="Times New Roman"/>
          <w:b/>
          <w:color w:val="000000" w:themeColor="text1"/>
          <w:sz w:val="21"/>
        </w:rPr>
        <w:t>4.3.2 Log Transformer</w:t>
      </w:r>
      <w:r w:rsidRPr="00427639">
        <w:rPr>
          <w:rFonts w:ascii="Times New Roman" w:hAnsi="Times New Roman"/>
          <w:b/>
          <w:color w:val="000000" w:themeColor="text1"/>
          <w:sz w:val="21"/>
        </w:rPr>
        <w:t xml:space="preserve"> Encoder</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System log strings within window W_t are tokenized into sequence t_t = (t_1, ..., t_L) of length L = 64. Tokens are mapped through learned embedding matrix E in R^(|V| x d_e) (d_e = 32) and augmented with fixed sinusoidal positional embeddings P i</w:t>
      </w:r>
      <w:r w:rsidRPr="00427639">
        <w:rPr>
          <w:rFonts w:ascii="Times New Roman" w:hAnsi="Times New Roman"/>
          <w:color w:val="000000" w:themeColor="text1"/>
          <w:sz w:val="20"/>
        </w:rPr>
        <w:t>n R^(L x d_e):</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t>H_0^log = E(t_i) + P_i,    i in {1, ..., L}</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(5)</w:t>
            </w:r>
          </w:p>
        </w:tc>
      </w:tr>
    </w:tbl>
    <w:p w:rsidR="002D3B39" w:rsidRPr="00427639" w:rsidRDefault="002D3B39">
      <w:pPr>
        <w:spacing w:after="40"/>
        <w:rPr>
          <w:color w:val="000000" w:themeColor="text1"/>
        </w:rPr>
      </w:pPr>
    </w:p>
    <w:p w:rsidR="002D3B39" w:rsidRPr="00427639" w:rsidRDefault="00626F8C">
      <w:pPr>
        <w:spacing w:after="90"/>
        <w:jc w:val="both"/>
        <w:rPr>
          <w:color w:val="000000" w:themeColor="text1"/>
        </w:rPr>
      </w:pPr>
      <w:r w:rsidRPr="00427639">
        <w:rPr>
          <w:rFonts w:ascii="Times New Roman" w:hAnsi="Times New Roman"/>
          <w:color w:val="000000" w:themeColor="text1"/>
          <w:sz w:val="20"/>
        </w:rPr>
        <w:t>The representation is encoded via a multi-head self-attention Transformer layer:</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t>Attention(Q, K, V) = softmax( (Q * K^T) / sqrt(d_k) ) * V</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(6)</w:t>
            </w:r>
          </w:p>
        </w:tc>
      </w:tr>
    </w:tbl>
    <w:p w:rsidR="002D3B39" w:rsidRPr="00427639" w:rsidRDefault="002D3B39">
      <w:pPr>
        <w:spacing w:after="40"/>
        <w:rPr>
          <w:color w:val="000000" w:themeColor="text1"/>
        </w:rPr>
      </w:pPr>
    </w:p>
    <w:p w:rsidR="002D3B39" w:rsidRPr="00427639" w:rsidRDefault="00626F8C">
      <w:pPr>
        <w:spacing w:after="90"/>
        <w:jc w:val="both"/>
        <w:rPr>
          <w:color w:val="000000" w:themeColor="text1"/>
        </w:rPr>
      </w:pPr>
      <w:r w:rsidRPr="00427639">
        <w:rPr>
          <w:rFonts w:ascii="Times New Roman" w:hAnsi="Times New Roman"/>
          <w:color w:val="000000" w:themeColor="text1"/>
          <w:sz w:val="20"/>
        </w:rPr>
        <w:t xml:space="preserve">Following multi-head aggregation and layer </w:t>
      </w:r>
      <w:r w:rsidRPr="00427639">
        <w:rPr>
          <w:rFonts w:ascii="Times New Roman" w:hAnsi="Times New Roman"/>
          <w:color w:val="000000" w:themeColor="text1"/>
          <w:sz w:val="20"/>
        </w:rPr>
        <w:t>normalization, the token sequence is compressed via global average pooling and concatenated with normalized service-level keyword statistics s_t in R^20:</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t>z_log = LayerNorm( W_l * [ (1/L) * sum_{i=1}^L H_tf,i^log  ||  s_t ] + b_l ) in R^D</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(7)</w:t>
            </w:r>
          </w:p>
        </w:tc>
      </w:tr>
    </w:tbl>
    <w:p w:rsidR="002D3B39" w:rsidRPr="00427639" w:rsidRDefault="002D3B39">
      <w:pPr>
        <w:spacing w:after="40"/>
        <w:rPr>
          <w:color w:val="000000" w:themeColor="text1"/>
        </w:rPr>
      </w:pPr>
    </w:p>
    <w:p w:rsidR="002D3B39" w:rsidRPr="00427639" w:rsidRDefault="00626F8C">
      <w:pPr>
        <w:keepNext/>
        <w:spacing w:before="140" w:after="40"/>
        <w:rPr>
          <w:color w:val="000000" w:themeColor="text1"/>
        </w:rPr>
      </w:pPr>
      <w:r w:rsidRPr="00427639">
        <w:rPr>
          <w:rFonts w:ascii="Times New Roman" w:hAnsi="Times New Roman"/>
          <w:b/>
          <w:color w:val="000000" w:themeColor="text1"/>
          <w:sz w:val="21"/>
        </w:rPr>
        <w:t>4.3.3 Servic</w:t>
      </w:r>
      <w:r w:rsidRPr="00427639">
        <w:rPr>
          <w:rFonts w:ascii="Times New Roman" w:hAnsi="Times New Roman"/>
          <w:b/>
          <w:color w:val="000000" w:themeColor="text1"/>
          <w:sz w:val="21"/>
        </w:rPr>
        <w:t>e Dependency Graph Encoder (GATv2)</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Distributed traces induce dynamic directed caller-callee invocation graphs among the N = 10 services. We implement a pure PyTorch vectorized Graph Attention Network v2 (GATv2) [29], which eliminates the static attention b</w:t>
      </w:r>
      <w:r w:rsidRPr="00427639">
        <w:rPr>
          <w:rFonts w:ascii="Times New Roman" w:hAnsi="Times New Roman"/>
          <w:color w:val="000000" w:themeColor="text1"/>
          <w:sz w:val="20"/>
        </w:rPr>
        <w:t>ottleneck by computing dynamic attention scores across caller-callee edges:</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t>alpha_i,j = exp( a^T * LeakyReLU( W_src * x_i + W_dst * x_j ) ) / sum_{k in N(i)} exp( a^T * LeakyReLU( W_src * x_i + W_dst * x_k ) )</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(8)</w:t>
            </w:r>
          </w:p>
        </w:tc>
      </w:tr>
    </w:tbl>
    <w:p w:rsidR="002D3B39" w:rsidRPr="00427639" w:rsidRDefault="002D3B39">
      <w:pPr>
        <w:spacing w:after="40"/>
        <w:rPr>
          <w:color w:val="000000" w:themeColor="text1"/>
        </w:rPr>
      </w:pPr>
    </w:p>
    <w:p w:rsidR="002D3B39" w:rsidRPr="00427639" w:rsidRDefault="00626F8C">
      <w:pPr>
        <w:spacing w:after="90"/>
        <w:jc w:val="both"/>
        <w:rPr>
          <w:color w:val="000000" w:themeColor="text1"/>
        </w:rPr>
      </w:pPr>
      <w:r w:rsidRPr="00427639">
        <w:rPr>
          <w:rFonts w:ascii="Times New Roman" w:hAnsi="Times New Roman"/>
          <w:color w:val="000000" w:themeColor="text1"/>
          <w:sz w:val="20"/>
        </w:rPr>
        <w:t>Across K = 2 attention heads and L_graph</w:t>
      </w:r>
      <w:r w:rsidRPr="00427639">
        <w:rPr>
          <w:rFonts w:ascii="Times New Roman" w:hAnsi="Times New Roman"/>
          <w:color w:val="000000" w:themeColor="text1"/>
          <w:sz w:val="20"/>
        </w:rPr>
        <w:t xml:space="preserve"> = 2 layers with residual connections, this yields service node representations H_nodes in R^(N x D). The graph-level context vector z_graph aggregates node representations and global trace summary statistics u_t in R^4:</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t xml:space="preserve">z_graph = LayerNorm( W_g * [ (1/N) </w:t>
            </w:r>
            <w:r w:rsidRPr="00427639">
              <w:rPr>
                <w:rFonts w:ascii="Cambria Math" w:hAnsi="Cambria Math"/>
                <w:i/>
                <w:color w:val="000000" w:themeColor="text1"/>
                <w:sz w:val="21"/>
              </w:rPr>
              <w:t>* sum_{i=1}^N h_i^(L_graph)  ||  u_t ] + b_g ) in R^D</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(9)</w:t>
            </w:r>
          </w:p>
        </w:tc>
      </w:tr>
    </w:tbl>
    <w:p w:rsidR="002D3B39" w:rsidRPr="00427639" w:rsidRDefault="002D3B39">
      <w:pPr>
        <w:spacing w:after="40"/>
        <w:rPr>
          <w:color w:val="000000" w:themeColor="text1"/>
        </w:rPr>
      </w:pP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4.4 Multimodal Cross-Attention Fusion</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Rather than simplistic concatenation or static summation, ORCA treats the three modality representations as tokens in a multimodal sequence:</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t xml:space="preserve">Z_modalities = [ </w:t>
            </w:r>
            <w:r w:rsidRPr="00427639">
              <w:rPr>
                <w:rFonts w:ascii="Cambria Math" w:hAnsi="Cambria Math"/>
                <w:i/>
                <w:color w:val="000000" w:themeColor="text1"/>
                <w:sz w:val="21"/>
              </w:rPr>
              <w:t>z_metric;  z_log;  z_graph ] in R^(3 x D)</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(10)</w:t>
            </w:r>
          </w:p>
        </w:tc>
      </w:tr>
    </w:tbl>
    <w:p w:rsidR="002D3B39" w:rsidRPr="00427639" w:rsidRDefault="002D3B39">
      <w:pPr>
        <w:spacing w:after="40"/>
        <w:rPr>
          <w:color w:val="000000" w:themeColor="text1"/>
        </w:rPr>
      </w:pPr>
    </w:p>
    <w:p w:rsidR="002D3B39" w:rsidRPr="00427639" w:rsidRDefault="00626F8C">
      <w:pPr>
        <w:spacing w:after="90"/>
        <w:jc w:val="both"/>
        <w:rPr>
          <w:color w:val="000000" w:themeColor="text1"/>
        </w:rPr>
      </w:pPr>
      <w:r w:rsidRPr="00427639">
        <w:rPr>
          <w:rFonts w:ascii="Times New Roman" w:hAnsi="Times New Roman"/>
          <w:color w:val="000000" w:themeColor="text1"/>
          <w:sz w:val="20"/>
        </w:rPr>
        <w:t>We compute cross-attention across all modality pairs using Multi-Head Attention:</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lastRenderedPageBreak/>
              <w:t>A_cross = MultiHeadAttention( Q = Z_modalities, K = Z_modalities, V = Z_modalities )</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(11)</w:t>
            </w:r>
          </w:p>
        </w:tc>
      </w:tr>
    </w:tbl>
    <w:p w:rsidR="002D3B39" w:rsidRPr="00427639" w:rsidRDefault="002D3B39">
      <w:pPr>
        <w:spacing w:after="40"/>
        <w:rPr>
          <w:color w:val="000000" w:themeColor="text1"/>
        </w:rPr>
      </w:pPr>
    </w:p>
    <w:p w:rsidR="002D3B39" w:rsidRPr="00427639" w:rsidRDefault="00626F8C">
      <w:pPr>
        <w:spacing w:after="90"/>
        <w:jc w:val="both"/>
        <w:rPr>
          <w:color w:val="000000" w:themeColor="text1"/>
        </w:rPr>
      </w:pPr>
      <w:r w:rsidRPr="00427639">
        <w:rPr>
          <w:rFonts w:ascii="Times New Roman" w:hAnsi="Times New Roman"/>
          <w:color w:val="000000" w:themeColor="text1"/>
          <w:sz w:val="20"/>
        </w:rPr>
        <w:t>Following residual summation, laye</w:t>
      </w:r>
      <w:r w:rsidRPr="00427639">
        <w:rPr>
          <w:rFonts w:ascii="Times New Roman" w:hAnsi="Times New Roman"/>
          <w:color w:val="000000" w:themeColor="text1"/>
          <w:sz w:val="20"/>
        </w:rPr>
        <w:t>r normalization, and multi-layer perceptron compression, we obtain the unified incident representation:</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t>z_fused = GELU( W_f * vec( LayerNorm( Z_modalities + A_cross ) ) + b_f ) in R^D</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(12)</w:t>
            </w:r>
          </w:p>
        </w:tc>
      </w:tr>
    </w:tbl>
    <w:p w:rsidR="002D3B39" w:rsidRPr="00427639" w:rsidRDefault="002D3B39">
      <w:pPr>
        <w:spacing w:after="40"/>
        <w:rPr>
          <w:color w:val="000000" w:themeColor="text1"/>
        </w:rPr>
      </w:pP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4.5 Multi-Task Decision Heads &amp; Conditional Masking</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ORCA simultan</w:t>
      </w:r>
      <w:r w:rsidRPr="00427639">
        <w:rPr>
          <w:rFonts w:ascii="Times New Roman" w:hAnsi="Times New Roman"/>
          <w:color w:val="000000" w:themeColor="text1"/>
          <w:sz w:val="20"/>
        </w:rPr>
        <w:t>eously optimizes three operational decision heads:</w:t>
      </w:r>
      <w:r w:rsidRPr="00427639">
        <w:rPr>
          <w:rFonts w:ascii="Times New Roman" w:hAnsi="Times New Roman"/>
          <w:color w:val="000000" w:themeColor="text1"/>
          <w:sz w:val="20"/>
        </w:rPr>
        <w:br/>
        <w:t xml:space="preserve">1. </w:t>
      </w:r>
      <w:r w:rsidRPr="00427639">
        <w:rPr>
          <w:rFonts w:ascii="Times New Roman" w:hAnsi="Times New Roman"/>
          <w:b/>
          <w:color w:val="000000" w:themeColor="text1"/>
          <w:sz w:val="20"/>
        </w:rPr>
        <w:t>Anomaly Detection Head:</w:t>
      </w:r>
      <w:r w:rsidRPr="00427639">
        <w:rPr>
          <w:rFonts w:ascii="Times New Roman" w:hAnsi="Times New Roman"/>
          <w:color w:val="000000" w:themeColor="text1"/>
          <w:sz w:val="20"/>
        </w:rPr>
        <w:t xml:space="preserve"> A 2-layer MLP predicting binary anomaly probabilities:</w:t>
      </w:r>
      <w:r w:rsidRPr="00427639">
        <w:rPr>
          <w:rFonts w:ascii="Times New Roman" w:hAnsi="Times New Roman"/>
          <w:color w:val="000000" w:themeColor="text1"/>
          <w:sz w:val="20"/>
        </w:rPr>
        <w:br/>
        <w:t xml:space="preserve">   p_hat_anom = softmax( W_a2 * GELU( W_a1 * z_fused + b_a1 ) + b_a2 ) in [0, 1]^2.</w:t>
      </w:r>
      <w:r w:rsidRPr="00427639">
        <w:rPr>
          <w:rFonts w:ascii="Times New Roman" w:hAnsi="Times New Roman"/>
          <w:color w:val="000000" w:themeColor="text1"/>
          <w:sz w:val="20"/>
        </w:rPr>
        <w:br/>
        <w:t xml:space="preserve">2. </w:t>
      </w:r>
      <w:r w:rsidRPr="00427639">
        <w:rPr>
          <w:rFonts w:ascii="Times New Roman" w:hAnsi="Times New Roman"/>
          <w:b/>
          <w:color w:val="000000" w:themeColor="text1"/>
          <w:sz w:val="20"/>
        </w:rPr>
        <w:t xml:space="preserve">Graph-Conditioned Root-Cause </w:t>
      </w:r>
      <w:r w:rsidRPr="00427639">
        <w:rPr>
          <w:rFonts w:ascii="Times New Roman" w:hAnsi="Times New Roman"/>
          <w:b/>
          <w:color w:val="000000" w:themeColor="text1"/>
          <w:sz w:val="20"/>
        </w:rPr>
        <w:t>Localization Head:</w:t>
      </w:r>
      <w:r w:rsidRPr="00427639">
        <w:rPr>
          <w:rFonts w:ascii="Times New Roman" w:hAnsi="Times New Roman"/>
          <w:color w:val="000000" w:themeColor="text1"/>
          <w:sz w:val="20"/>
        </w:rPr>
        <w:t xml:space="preserve"> Conditions each service node representation h_i on the fused incident context:</w:t>
      </w:r>
      <w:r w:rsidRPr="00427639">
        <w:rPr>
          <w:rFonts w:ascii="Times New Roman" w:hAnsi="Times New Roman"/>
          <w:color w:val="000000" w:themeColor="text1"/>
          <w:sz w:val="20"/>
        </w:rPr>
        <w:br/>
        <w:t xml:space="preserve">   r_i = [ h_i || z_fused ] in R^(2D);  s_i = W_r2 * GELU( W_r1 * r_i + b_r1 ) + b_r2;  p_hat_rc = softmax([s_1, ..., s_N]^T) in [0, 1]^N.</w:t>
      </w:r>
      <w:r w:rsidRPr="00427639">
        <w:rPr>
          <w:rFonts w:ascii="Times New Roman" w:hAnsi="Times New Roman"/>
          <w:color w:val="000000" w:themeColor="text1"/>
          <w:sz w:val="20"/>
        </w:rPr>
        <w:br/>
        <w:t xml:space="preserve">3. </w:t>
      </w:r>
      <w:r w:rsidRPr="00427639">
        <w:rPr>
          <w:rFonts w:ascii="Times New Roman" w:hAnsi="Times New Roman"/>
          <w:b/>
          <w:color w:val="000000" w:themeColor="text1"/>
          <w:sz w:val="20"/>
        </w:rPr>
        <w:t>Incident Severit</w:t>
      </w:r>
      <w:r w:rsidRPr="00427639">
        <w:rPr>
          <w:rFonts w:ascii="Times New Roman" w:hAnsi="Times New Roman"/>
          <w:b/>
          <w:color w:val="000000" w:themeColor="text1"/>
          <w:sz w:val="20"/>
        </w:rPr>
        <w:t>y Head:</w:t>
      </w:r>
      <w:r w:rsidRPr="00427639">
        <w:rPr>
          <w:rFonts w:ascii="Times New Roman" w:hAnsi="Times New Roman"/>
          <w:color w:val="000000" w:themeColor="text1"/>
          <w:sz w:val="20"/>
        </w:rPr>
        <w:t xml:space="preserve"> Predicts operational severity (LOW, MEDIUM, HIGH, CRITICAL): p_hat_sev in [0, 1]^4.</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 xml:space="preserve">Crucially, computing root-cause localization loss on normal windows introduces corrupt gradients because healthy systems possess no true root cause. Therefore, we introduce an </w:t>
      </w:r>
      <w:r w:rsidRPr="00427639">
        <w:rPr>
          <w:rFonts w:ascii="Times New Roman" w:hAnsi="Times New Roman"/>
          <w:b/>
          <w:color w:val="000000" w:themeColor="text1"/>
          <w:sz w:val="20"/>
        </w:rPr>
        <w:t>anomaly indicator mask</w:t>
      </w:r>
      <w:r w:rsidRPr="00427639">
        <w:rPr>
          <w:rFonts w:ascii="Times New Roman" w:hAnsi="Times New Roman"/>
          <w:color w:val="000000" w:themeColor="text1"/>
          <w:sz w:val="20"/>
        </w:rPr>
        <w:t xml:space="preserve"> I(y_anom = 1) in the joint objective:</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t>L_total = lambda_an</w:t>
            </w:r>
            <w:r w:rsidRPr="00427639">
              <w:rPr>
                <w:rFonts w:ascii="Cambria Math" w:hAnsi="Cambria Math"/>
                <w:i/>
                <w:color w:val="000000" w:themeColor="text1"/>
                <w:sz w:val="21"/>
              </w:rPr>
              <w:t>om * L_BCE(y_anom, p_hat_anom) + lambda_rc * I(y_anom == 1) * L_CE(y_rc, p_hat_rc) + lambda_sev * L_CE(y_sev, p_hat_sev)</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(13)</w:t>
            </w:r>
          </w:p>
        </w:tc>
      </w:tr>
    </w:tbl>
    <w:p w:rsidR="002D3B39" w:rsidRPr="00427639" w:rsidRDefault="002D3B39">
      <w:pPr>
        <w:spacing w:after="40"/>
        <w:rPr>
          <w:color w:val="000000" w:themeColor="text1"/>
        </w:rPr>
      </w:pPr>
    </w:p>
    <w:p w:rsidR="002D3B39" w:rsidRPr="00427639" w:rsidRDefault="00626F8C">
      <w:pPr>
        <w:spacing w:after="90"/>
        <w:jc w:val="both"/>
        <w:rPr>
          <w:color w:val="000000" w:themeColor="text1"/>
        </w:rPr>
      </w:pPr>
      <w:r w:rsidRPr="00427639">
        <w:rPr>
          <w:rFonts w:ascii="Times New Roman" w:hAnsi="Times New Roman"/>
          <w:color w:val="000000" w:themeColor="text1"/>
          <w:sz w:val="20"/>
        </w:rPr>
        <w:t>where lambda_anom = 1.0, lambda_rc = 1.164, and lambda_sev = 0.5 were established via Bayesian optimization.</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4.6 Post-Hoc Temper</w:t>
      </w:r>
      <w:r w:rsidRPr="00427639">
        <w:rPr>
          <w:rFonts w:ascii="Times New Roman" w:hAnsi="Times New Roman"/>
          <w:b/>
          <w:color w:val="000000" w:themeColor="text1"/>
          <w:sz w:val="23"/>
        </w:rPr>
        <w:t>ature Calibration</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To prevent miscalibrated overconfidence in mission-critical SRE deployments, we apply post-hoc Temperature Scaling [31]. A scalar parameter T &gt; 0 is optimized on the validation set by minimizing Negative Log-Likelihood (NLL) while freezin</w:t>
      </w:r>
      <w:r w:rsidRPr="00427639">
        <w:rPr>
          <w:rFonts w:ascii="Times New Roman" w:hAnsi="Times New Roman"/>
          <w:color w:val="000000" w:themeColor="text1"/>
          <w:sz w:val="20"/>
        </w:rPr>
        <w:t>g all network weights:</w:t>
      </w:r>
    </w:p>
    <w:tbl>
      <w:tblPr>
        <w:tblW w:w="0" w:type="auto"/>
        <w:jc w:val="center"/>
        <w:tblLook w:val="04A0" w:firstRow="1" w:lastRow="0" w:firstColumn="1" w:lastColumn="0" w:noHBand="0" w:noVBand="1"/>
      </w:tblPr>
      <w:tblGrid>
        <w:gridCol w:w="8352"/>
        <w:gridCol w:w="1152"/>
      </w:tblGrid>
      <w:tr w:rsidR="00427639" w:rsidRPr="00427639">
        <w:trPr>
          <w:jc w:val="center"/>
        </w:trPr>
        <w:tc>
          <w:tcPr>
            <w:tcW w:w="8352" w:type="dxa"/>
            <w:tcMar>
              <w:top w:w="40" w:type="dxa"/>
              <w:left w:w="40" w:type="dxa"/>
              <w:bottom w:w="40" w:type="dxa"/>
              <w:right w:w="40" w:type="dxa"/>
            </w:tcMar>
          </w:tcPr>
          <w:p w:rsidR="002D3B39" w:rsidRPr="00427639" w:rsidRDefault="00626F8C">
            <w:pPr>
              <w:spacing w:before="40" w:after="40"/>
              <w:jc w:val="center"/>
              <w:rPr>
                <w:color w:val="000000" w:themeColor="text1"/>
              </w:rPr>
            </w:pPr>
            <w:r w:rsidRPr="00427639">
              <w:rPr>
                <w:rFonts w:ascii="Cambria Math" w:hAnsi="Cambria Math"/>
                <w:i/>
                <w:color w:val="000000" w:themeColor="text1"/>
                <w:sz w:val="21"/>
              </w:rPr>
              <w:t>T* = argmin_T  - sum_{k=1}^{N_val} log( exp(s_k,y_k / T) / sum_{j=1}^N exp(s_k,j / T) )</w:t>
            </w:r>
          </w:p>
        </w:tc>
        <w:tc>
          <w:tcPr>
            <w:tcW w:w="1152" w:type="dxa"/>
            <w:tcMar>
              <w:top w:w="40" w:type="dxa"/>
              <w:left w:w="40" w:type="dxa"/>
              <w:bottom w:w="40" w:type="dxa"/>
              <w:right w:w="40" w:type="dxa"/>
            </w:tcMar>
          </w:tcPr>
          <w:p w:rsidR="002D3B39" w:rsidRPr="00427639" w:rsidRDefault="00626F8C">
            <w:pPr>
              <w:spacing w:before="40" w:after="40"/>
              <w:jc w:val="right"/>
              <w:rPr>
                <w:color w:val="000000" w:themeColor="text1"/>
              </w:rPr>
            </w:pPr>
            <w:r w:rsidRPr="00427639">
              <w:rPr>
                <w:rFonts w:ascii="Times New Roman" w:hAnsi="Times New Roman"/>
                <w:b/>
                <w:color w:val="000000" w:themeColor="text1"/>
                <w:sz w:val="20"/>
              </w:rPr>
              <w:t>(14)</w:t>
            </w:r>
          </w:p>
        </w:tc>
      </w:tr>
    </w:tbl>
    <w:p w:rsidR="002D3B39" w:rsidRPr="00427639" w:rsidRDefault="002D3B39">
      <w:pPr>
        <w:spacing w:after="40"/>
        <w:rPr>
          <w:color w:val="000000" w:themeColor="text1"/>
        </w:rPr>
      </w:pPr>
    </w:p>
    <w:p w:rsidR="002D3B39" w:rsidRPr="00427639" w:rsidRDefault="00626F8C">
      <w:pPr>
        <w:spacing w:after="90"/>
        <w:jc w:val="both"/>
        <w:rPr>
          <w:color w:val="000000" w:themeColor="text1"/>
        </w:rPr>
      </w:pPr>
      <w:r w:rsidRPr="00427639">
        <w:rPr>
          <w:rFonts w:ascii="Times New Roman" w:hAnsi="Times New Roman"/>
          <w:color w:val="000000" w:themeColor="text1"/>
          <w:sz w:val="20"/>
        </w:rPr>
        <w:t>Optimal calibration yielded T* = 0.8057, substantially reducing Expected Calibration Error (ECE) on the test split.</w:t>
      </w:r>
    </w:p>
    <w:p w:rsidR="002D3B39" w:rsidRPr="00427639" w:rsidRDefault="00626F8C">
      <w:pPr>
        <w:keepNext/>
        <w:spacing w:before="280" w:after="80"/>
        <w:rPr>
          <w:color w:val="000000" w:themeColor="text1"/>
        </w:rPr>
      </w:pPr>
      <w:r w:rsidRPr="00427639">
        <w:rPr>
          <w:rFonts w:ascii="Times New Roman" w:hAnsi="Times New Roman"/>
          <w:b/>
          <w:color w:val="000000" w:themeColor="text1"/>
          <w:sz w:val="26"/>
        </w:rPr>
        <w:t>5. IMPLEMENTATION &amp; EX</w:t>
      </w:r>
      <w:r w:rsidRPr="00427639">
        <w:rPr>
          <w:rFonts w:ascii="Times New Roman" w:hAnsi="Times New Roman"/>
          <w:b/>
          <w:color w:val="000000" w:themeColor="text1"/>
          <w:sz w:val="26"/>
        </w:rPr>
        <w:t>PERIMENTS</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5.1 Environment Setup &amp; Reproducibility</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Table II details the complete hardware and software environment utilized throughout all experiments. To ensure 100% computational reproducibility across standard industrial workstations, ORCA incorporates a</w:t>
      </w:r>
      <w:r w:rsidRPr="00427639">
        <w:rPr>
          <w:rFonts w:ascii="Times New Roman" w:hAnsi="Times New Roman"/>
          <w:color w:val="000000" w:themeColor="text1"/>
          <w:sz w:val="20"/>
        </w:rPr>
        <w:t xml:space="preserve"> CPU execution fallback that circumvents Windows-specific CUDA DLL allocation bottlenecks in Python 3.13.</w:t>
      </w:r>
    </w:p>
    <w:tbl>
      <w:tblPr>
        <w:tblW w:w="0" w:type="auto"/>
        <w:jc w:val="center"/>
        <w:tblLook w:val="04A0" w:firstRow="1" w:lastRow="0" w:firstColumn="1" w:lastColumn="0" w:noHBand="0" w:noVBand="1"/>
      </w:tblPr>
      <w:tblGrid>
        <w:gridCol w:w="3168"/>
        <w:gridCol w:w="3312"/>
        <w:gridCol w:w="3600"/>
      </w:tblGrid>
      <w:tr w:rsidR="00427639" w:rsidRPr="00427639">
        <w:trPr>
          <w:jc w:val="center"/>
        </w:trPr>
        <w:tc>
          <w:tcPr>
            <w:tcW w:w="3168"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Environment Parameter</w:t>
            </w:r>
          </w:p>
        </w:tc>
        <w:tc>
          <w:tcPr>
            <w:tcW w:w="3312"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Specification / Software Version</w:t>
            </w:r>
          </w:p>
        </w:tc>
        <w:tc>
          <w:tcPr>
            <w:tcW w:w="3600"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Role in Research Pipeline</w:t>
            </w:r>
          </w:p>
        </w:tc>
      </w:tr>
      <w:tr w:rsidR="00427639" w:rsidRPr="00427639">
        <w:trPr>
          <w:jc w:val="center"/>
        </w:trPr>
        <w:tc>
          <w:tcPr>
            <w:tcW w:w="3168"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Operating System</w:t>
            </w:r>
          </w:p>
        </w:tc>
        <w:tc>
          <w:tcPr>
            <w:tcW w:w="331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 xml:space="preserve">Microsoft Windows 11 Enterprise (x86_64, Kernel </w:t>
            </w:r>
            <w:r w:rsidRPr="00427639">
              <w:rPr>
                <w:rFonts w:ascii="Times New Roman" w:hAnsi="Times New Roman"/>
                <w:color w:val="000000" w:themeColor="text1"/>
                <w:sz w:val="18"/>
              </w:rPr>
              <w:t>10.0.26100)</w:t>
            </w:r>
          </w:p>
        </w:tc>
        <w:tc>
          <w:tcPr>
            <w:tcW w:w="3600"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Host execution platform</w:t>
            </w:r>
          </w:p>
        </w:tc>
      </w:tr>
      <w:tr w:rsidR="00427639" w:rsidRPr="00427639">
        <w:trPr>
          <w:jc w:val="center"/>
        </w:trPr>
        <w:tc>
          <w:tcPr>
            <w:tcW w:w="3168"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CPU Architecture</w:t>
            </w:r>
          </w:p>
        </w:tc>
        <w:tc>
          <w:tcPr>
            <w:tcW w:w="331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Intel Core i7 / AMD Ryzen Multi-Core SMP, AVX2 Enabled</w:t>
            </w:r>
          </w:p>
        </w:tc>
        <w:tc>
          <w:tcPr>
            <w:tcW w:w="3600"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Compute engine for tensor inference &amp; training</w:t>
            </w:r>
          </w:p>
        </w:tc>
      </w:tr>
      <w:tr w:rsidR="00427639" w:rsidRPr="00427639">
        <w:trPr>
          <w:jc w:val="center"/>
        </w:trPr>
        <w:tc>
          <w:tcPr>
            <w:tcW w:w="3168"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lastRenderedPageBreak/>
              <w:t>Physical Memory</w:t>
            </w:r>
          </w:p>
        </w:tc>
        <w:tc>
          <w:tcPr>
            <w:tcW w:w="331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16 GB DDR4 RAM</w:t>
            </w:r>
          </w:p>
        </w:tc>
        <w:tc>
          <w:tcPr>
            <w:tcW w:w="3600"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Telemetry batch memory allocation</w:t>
            </w:r>
          </w:p>
        </w:tc>
      </w:tr>
      <w:tr w:rsidR="00427639" w:rsidRPr="00427639">
        <w:trPr>
          <w:jc w:val="center"/>
        </w:trPr>
        <w:tc>
          <w:tcPr>
            <w:tcW w:w="3168"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Programming Runtime</w:t>
            </w:r>
          </w:p>
        </w:tc>
        <w:tc>
          <w:tcPr>
            <w:tcW w:w="331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Python 3.13.1</w:t>
            </w:r>
            <w:r w:rsidRPr="00427639">
              <w:rPr>
                <w:rFonts w:ascii="Times New Roman" w:hAnsi="Times New Roman"/>
                <w:color w:val="000000" w:themeColor="text1"/>
                <w:sz w:val="18"/>
              </w:rPr>
              <w:t xml:space="preserve"> (64-bit runtime)</w:t>
            </w:r>
          </w:p>
        </w:tc>
        <w:tc>
          <w:tcPr>
            <w:tcW w:w="3600"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Core scripting and modeling execution</w:t>
            </w:r>
          </w:p>
        </w:tc>
      </w:tr>
      <w:tr w:rsidR="00427639" w:rsidRPr="00427639">
        <w:trPr>
          <w:jc w:val="center"/>
        </w:trPr>
        <w:tc>
          <w:tcPr>
            <w:tcW w:w="3168"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Deep Learning Engine</w:t>
            </w:r>
          </w:p>
        </w:tc>
        <w:tc>
          <w:tcPr>
            <w:tcW w:w="331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PyTorch 2.2.0 (Vectorized CPU backend)</w:t>
            </w:r>
          </w:p>
        </w:tc>
        <w:tc>
          <w:tcPr>
            <w:tcW w:w="3600"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Neural network layers, autograd, and loss engines</w:t>
            </w:r>
          </w:p>
        </w:tc>
      </w:tr>
      <w:tr w:rsidR="00427639" w:rsidRPr="00427639">
        <w:trPr>
          <w:jc w:val="center"/>
        </w:trPr>
        <w:tc>
          <w:tcPr>
            <w:tcW w:w="3168"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Machine Learning Suite</w:t>
            </w:r>
          </w:p>
        </w:tc>
        <w:tc>
          <w:tcPr>
            <w:tcW w:w="331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scikit-learn 1.4.1, XGBoost 2.0.3, Optuna 3.6.0</w:t>
            </w:r>
          </w:p>
        </w:tc>
        <w:tc>
          <w:tcPr>
            <w:tcW w:w="3600"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 xml:space="preserve">Baseline models, </w:t>
            </w:r>
            <w:r w:rsidRPr="00427639">
              <w:rPr>
                <w:rFonts w:ascii="Times New Roman" w:hAnsi="Times New Roman"/>
                <w:color w:val="000000" w:themeColor="text1"/>
                <w:sz w:val="18"/>
              </w:rPr>
              <w:t>preprocessing, and Bayesian tuning</w:t>
            </w:r>
          </w:p>
        </w:tc>
      </w:tr>
      <w:tr w:rsidR="00427639" w:rsidRPr="00427639">
        <w:trPr>
          <w:jc w:val="center"/>
        </w:trPr>
        <w:tc>
          <w:tcPr>
            <w:tcW w:w="3168"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Explainability</w:t>
            </w:r>
            <w:proofErr w:type="spellEnd"/>
            <w:r w:rsidRPr="00427639">
              <w:rPr>
                <w:rFonts w:ascii="Times New Roman" w:hAnsi="Times New Roman"/>
                <w:color w:val="000000" w:themeColor="text1"/>
                <w:sz w:val="18"/>
              </w:rPr>
              <w:t xml:space="preserve"> &amp; Manifold</w:t>
            </w:r>
          </w:p>
        </w:tc>
        <w:tc>
          <w:tcPr>
            <w:tcW w:w="331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SHAP 0.45.0, UMAP-learn 0.5.5, PCA</w:t>
            </w:r>
          </w:p>
        </w:tc>
        <w:tc>
          <w:tcPr>
            <w:tcW w:w="3600"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Feature importance and embedding geometry</w:t>
            </w:r>
          </w:p>
        </w:tc>
      </w:tr>
      <w:tr w:rsidR="00427639" w:rsidRPr="00427639">
        <w:trPr>
          <w:jc w:val="center"/>
        </w:trPr>
        <w:tc>
          <w:tcPr>
            <w:tcW w:w="3168"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Serving &amp; User Interface</w:t>
            </w:r>
          </w:p>
        </w:tc>
        <w:tc>
          <w:tcPr>
            <w:tcW w:w="331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FastAPI 0.110.0, Streamlit 1.32.2, Docker 26.0</w:t>
            </w:r>
          </w:p>
        </w:tc>
        <w:tc>
          <w:tcPr>
            <w:tcW w:w="3600"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Microservice inference API and SRE dashboard</w:t>
            </w:r>
          </w:p>
        </w:tc>
      </w:tr>
    </w:tbl>
    <w:p w:rsidR="002D3B39" w:rsidRPr="00427639" w:rsidRDefault="002D3B39">
      <w:pPr>
        <w:spacing w:after="120"/>
        <w:rPr>
          <w:color w:val="000000" w:themeColor="text1"/>
        </w:rPr>
      </w:pP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5.2 Benchmark Dataset &amp; Zero-Leakage Experimental Design</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 xml:space="preserve">All experiments were conducted using the standardized </w:t>
      </w:r>
      <w:r w:rsidRPr="00427639">
        <w:rPr>
          <w:rFonts w:ascii="Times New Roman" w:hAnsi="Times New Roman"/>
          <w:b/>
          <w:color w:val="000000" w:themeColor="text1"/>
          <w:sz w:val="20"/>
        </w:rPr>
        <w:t>RCAEval benchmark suite</w:t>
      </w:r>
      <w:r w:rsidRPr="00427639">
        <w:rPr>
          <w:rFonts w:ascii="Times New Roman" w:hAnsi="Times New Roman"/>
          <w:color w:val="000000" w:themeColor="text1"/>
          <w:sz w:val="20"/>
        </w:rPr>
        <w:t xml:space="preserve"> (ACM WWW'25) [18], collected from the Google Online Boutique microservices application. The dataset encompasses diverse injected failure scenarios across 10 interconnected microservices:</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CPU Starvation:</w:t>
      </w:r>
      <w:r w:rsidRPr="00427639">
        <w:rPr>
          <w:rFonts w:ascii="Times New Roman" w:hAnsi="Times New Roman"/>
          <w:color w:val="000000" w:themeColor="text1"/>
          <w:sz w:val="20"/>
        </w:rPr>
        <w:t xml:space="preserve"> Synthetic thread contention and rogue compute loop</w:t>
      </w:r>
      <w:r w:rsidRPr="00427639">
        <w:rPr>
          <w:rFonts w:ascii="Times New Roman" w:hAnsi="Times New Roman"/>
          <w:color w:val="000000" w:themeColor="text1"/>
          <w:sz w:val="20"/>
        </w:rPr>
        <w:t>s in backend services.</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Memory Leak:</w:t>
      </w:r>
      <w:r w:rsidRPr="00427639">
        <w:rPr>
          <w:rFonts w:ascii="Times New Roman" w:hAnsi="Times New Roman"/>
          <w:color w:val="000000" w:themeColor="text1"/>
          <w:sz w:val="20"/>
        </w:rPr>
        <w:t xml:space="preserve"> Gradual heap allocation exhaustion culminating in Out-Of-Memory (OOM) container termination.</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Network Latency:</w:t>
      </w:r>
      <w:r w:rsidRPr="00427639">
        <w:rPr>
          <w:rFonts w:ascii="Times New Roman" w:hAnsi="Times New Roman"/>
          <w:color w:val="000000" w:themeColor="text1"/>
          <w:sz w:val="20"/>
        </w:rPr>
        <w:t xml:space="preserve"> Injected 100ms–500ms packet round-trip delays using Linux `tc-netem`.</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Service Crash:</w:t>
      </w:r>
      <w:r w:rsidRPr="00427639">
        <w:rPr>
          <w:rFonts w:ascii="Times New Roman" w:hAnsi="Times New Roman"/>
          <w:color w:val="000000" w:themeColor="text1"/>
          <w:sz w:val="20"/>
        </w:rPr>
        <w:t xml:space="preserve"> Abrupt process term</w:t>
      </w:r>
      <w:r w:rsidRPr="00427639">
        <w:rPr>
          <w:rFonts w:ascii="Times New Roman" w:hAnsi="Times New Roman"/>
          <w:color w:val="000000" w:themeColor="text1"/>
          <w:sz w:val="20"/>
        </w:rPr>
        <w:t>ination triggering cascading downstream gRPC HTTP 500 errors.</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 xml:space="preserve">To guarantee complete scientific validity and prevent data leakage, we enforce an </w:t>
      </w:r>
      <w:r w:rsidRPr="00427639">
        <w:rPr>
          <w:rFonts w:ascii="Times New Roman" w:hAnsi="Times New Roman"/>
          <w:b/>
          <w:color w:val="000000" w:themeColor="text1"/>
          <w:sz w:val="20"/>
        </w:rPr>
        <w:t>incident-level temporal split</w:t>
      </w:r>
      <w:r w:rsidRPr="00427639">
        <w:rPr>
          <w:rFonts w:ascii="Times New Roman" w:hAnsi="Times New Roman"/>
          <w:color w:val="000000" w:themeColor="text1"/>
          <w:sz w:val="20"/>
        </w:rPr>
        <w:t>:</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Training Split:</w:t>
      </w:r>
      <w:r w:rsidRPr="00427639">
        <w:rPr>
          <w:rFonts w:ascii="Times New Roman" w:hAnsi="Times New Roman"/>
          <w:color w:val="000000" w:themeColor="text1"/>
          <w:sz w:val="20"/>
        </w:rPr>
        <w:t xml:space="preserve"> 829 continuous windows (15s duration; 70% of dataset).</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Valida</w:t>
      </w:r>
      <w:r w:rsidRPr="00427639">
        <w:rPr>
          <w:rFonts w:ascii="Times New Roman" w:hAnsi="Times New Roman"/>
          <w:b/>
          <w:color w:val="000000" w:themeColor="text1"/>
          <w:sz w:val="20"/>
        </w:rPr>
        <w:t>tion Split:</w:t>
      </w:r>
      <w:r w:rsidRPr="00427639">
        <w:rPr>
          <w:rFonts w:ascii="Times New Roman" w:hAnsi="Times New Roman"/>
          <w:color w:val="000000" w:themeColor="text1"/>
          <w:sz w:val="20"/>
        </w:rPr>
        <w:t xml:space="preserve"> 192 continuous windows (15% of dataset; used for Optuna tuning and temperature calibration).</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Testing Split:</w:t>
      </w:r>
      <w:r w:rsidRPr="00427639">
        <w:rPr>
          <w:rFonts w:ascii="Times New Roman" w:hAnsi="Times New Roman"/>
          <w:color w:val="000000" w:themeColor="text1"/>
          <w:sz w:val="20"/>
        </w:rPr>
        <w:t xml:space="preserve"> 288 held-out continuous windows (15% of dataset; balanced 144 normal windows, 144 anomalous windows).</w:t>
      </w:r>
      <w:r w:rsidRPr="00427639">
        <w:rPr>
          <w:rFonts w:ascii="Times New Roman" w:hAnsi="Times New Roman"/>
          <w:color w:val="000000" w:themeColor="text1"/>
          <w:sz w:val="20"/>
        </w:rPr>
        <w:br/>
        <w:t>All normalizers, scalers, tokeni</w:t>
      </w:r>
      <w:r w:rsidRPr="00427639">
        <w:rPr>
          <w:rFonts w:ascii="Times New Roman" w:hAnsi="Times New Roman"/>
          <w:color w:val="000000" w:themeColor="text1"/>
          <w:sz w:val="20"/>
        </w:rPr>
        <w:t>zers, and graph normalizations were fitted strictly on the training partition and applied frozen to test sets.</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5.3 Baseline Models &amp; Comparative Frameworks</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We implemented eight local models and integrated published results from three recent authoritative p</w:t>
      </w:r>
      <w:r w:rsidRPr="00427639">
        <w:rPr>
          <w:rFonts w:ascii="Times New Roman" w:hAnsi="Times New Roman"/>
          <w:color w:val="000000" w:themeColor="text1"/>
          <w:sz w:val="20"/>
        </w:rPr>
        <w:t>eer-reviewed literature benchmarks:</w:t>
      </w:r>
      <w:r w:rsidRPr="00427639">
        <w:rPr>
          <w:rFonts w:ascii="Times New Roman" w:hAnsi="Times New Roman"/>
          <w:color w:val="000000" w:themeColor="text1"/>
          <w:sz w:val="20"/>
        </w:rPr>
        <w:br/>
        <w:t xml:space="preserve">1. </w:t>
      </w:r>
      <w:r w:rsidRPr="00427639">
        <w:rPr>
          <w:rFonts w:ascii="Times New Roman" w:hAnsi="Times New Roman"/>
          <w:b/>
          <w:color w:val="000000" w:themeColor="text1"/>
          <w:sz w:val="20"/>
        </w:rPr>
        <w:t>Isolation Forest [14]:</w:t>
      </w:r>
      <w:r w:rsidRPr="00427639">
        <w:rPr>
          <w:rFonts w:ascii="Times New Roman" w:hAnsi="Times New Roman"/>
          <w:color w:val="000000" w:themeColor="text1"/>
          <w:sz w:val="20"/>
        </w:rPr>
        <w:t xml:space="preserve"> Unsupervised tree isolation fitted on flattened metric vectors (100 estimators, 0.1 contamination rate).</w:t>
      </w:r>
      <w:r w:rsidRPr="00427639">
        <w:rPr>
          <w:rFonts w:ascii="Times New Roman" w:hAnsi="Times New Roman"/>
          <w:color w:val="000000" w:themeColor="text1"/>
          <w:sz w:val="20"/>
        </w:rPr>
        <w:br/>
        <w:t xml:space="preserve">2. </w:t>
      </w:r>
      <w:r w:rsidRPr="00427639">
        <w:rPr>
          <w:rFonts w:ascii="Times New Roman" w:hAnsi="Times New Roman"/>
          <w:b/>
          <w:color w:val="000000" w:themeColor="text1"/>
          <w:sz w:val="20"/>
        </w:rPr>
        <w:t>XGBoost Baseline [30]:</w:t>
      </w:r>
      <w:r w:rsidRPr="00427639">
        <w:rPr>
          <w:rFonts w:ascii="Times New Roman" w:hAnsi="Times New Roman"/>
          <w:color w:val="000000" w:themeColor="text1"/>
          <w:sz w:val="20"/>
        </w:rPr>
        <w:t xml:space="preserve"> Supervised Gradient Boosted Decision Trees trained on flattened</w:t>
      </w:r>
      <w:r w:rsidRPr="00427639">
        <w:rPr>
          <w:rFonts w:ascii="Times New Roman" w:hAnsi="Times New Roman"/>
          <w:color w:val="000000" w:themeColor="text1"/>
          <w:sz w:val="20"/>
        </w:rPr>
        <w:t xml:space="preserve"> metric features (100 estimators, max depth 5).</w:t>
      </w:r>
      <w:r w:rsidRPr="00427639">
        <w:rPr>
          <w:rFonts w:ascii="Times New Roman" w:hAnsi="Times New Roman"/>
          <w:color w:val="000000" w:themeColor="text1"/>
          <w:sz w:val="20"/>
        </w:rPr>
        <w:br/>
        <w:t xml:space="preserve">3. </w:t>
      </w:r>
      <w:r w:rsidRPr="00427639">
        <w:rPr>
          <w:rFonts w:ascii="Times New Roman" w:hAnsi="Times New Roman"/>
          <w:b/>
          <w:color w:val="000000" w:themeColor="text1"/>
          <w:sz w:val="20"/>
        </w:rPr>
        <w:t>Log_Only Unimodal Model:</w:t>
      </w:r>
      <w:r w:rsidRPr="00427639">
        <w:rPr>
          <w:rFonts w:ascii="Times New Roman" w:hAnsi="Times New Roman"/>
          <w:color w:val="000000" w:themeColor="text1"/>
          <w:sz w:val="20"/>
        </w:rPr>
        <w:t xml:space="preserve"> Transformer log encoder with heads, ablating metrics and traces.</w:t>
      </w:r>
      <w:r w:rsidRPr="00427639">
        <w:rPr>
          <w:rFonts w:ascii="Times New Roman" w:hAnsi="Times New Roman"/>
          <w:color w:val="000000" w:themeColor="text1"/>
          <w:sz w:val="20"/>
        </w:rPr>
        <w:br/>
        <w:t xml:space="preserve">4. </w:t>
      </w:r>
      <w:r w:rsidRPr="00427639">
        <w:rPr>
          <w:rFonts w:ascii="Times New Roman" w:hAnsi="Times New Roman"/>
          <w:b/>
          <w:color w:val="000000" w:themeColor="text1"/>
          <w:sz w:val="20"/>
        </w:rPr>
        <w:t>Metric_Only Unimodal Model:</w:t>
      </w:r>
      <w:r w:rsidRPr="00427639">
        <w:rPr>
          <w:rFonts w:ascii="Times New Roman" w:hAnsi="Times New Roman"/>
          <w:color w:val="000000" w:themeColor="text1"/>
          <w:sz w:val="20"/>
        </w:rPr>
        <w:t xml:space="preserve"> TCN-BiGRU metric encoder with heads, ablating logs and traces.</w:t>
      </w:r>
      <w:r w:rsidRPr="00427639">
        <w:rPr>
          <w:rFonts w:ascii="Times New Roman" w:hAnsi="Times New Roman"/>
          <w:color w:val="000000" w:themeColor="text1"/>
          <w:sz w:val="20"/>
        </w:rPr>
        <w:br/>
        <w:t xml:space="preserve">5. </w:t>
      </w:r>
      <w:r w:rsidRPr="00427639">
        <w:rPr>
          <w:rFonts w:ascii="Times New Roman" w:hAnsi="Times New Roman"/>
          <w:b/>
          <w:color w:val="000000" w:themeColor="text1"/>
          <w:sz w:val="20"/>
        </w:rPr>
        <w:t>Trace_Only Unimoda</w:t>
      </w:r>
      <w:r w:rsidRPr="00427639">
        <w:rPr>
          <w:rFonts w:ascii="Times New Roman" w:hAnsi="Times New Roman"/>
          <w:b/>
          <w:color w:val="000000" w:themeColor="text1"/>
          <w:sz w:val="20"/>
        </w:rPr>
        <w:t>l Model:</w:t>
      </w:r>
      <w:r w:rsidRPr="00427639">
        <w:rPr>
          <w:rFonts w:ascii="Times New Roman" w:hAnsi="Times New Roman"/>
          <w:color w:val="000000" w:themeColor="text1"/>
          <w:sz w:val="20"/>
        </w:rPr>
        <w:t xml:space="preserve"> GATv2 graph encoder with heads, ablating logs and metrics.</w:t>
      </w:r>
      <w:r w:rsidRPr="00427639">
        <w:rPr>
          <w:rFonts w:ascii="Times New Roman" w:hAnsi="Times New Roman"/>
          <w:color w:val="000000" w:themeColor="text1"/>
          <w:sz w:val="20"/>
        </w:rPr>
        <w:br/>
        <w:t xml:space="preserve">6. </w:t>
      </w:r>
      <w:r w:rsidRPr="00427639">
        <w:rPr>
          <w:rFonts w:ascii="Times New Roman" w:hAnsi="Times New Roman"/>
          <w:b/>
          <w:color w:val="000000" w:themeColor="text1"/>
          <w:sz w:val="20"/>
        </w:rPr>
        <w:t>Bimodal (Logs + Metrics):</w:t>
      </w:r>
      <w:r w:rsidRPr="00427639">
        <w:rPr>
          <w:rFonts w:ascii="Times New Roman" w:hAnsi="Times New Roman"/>
          <w:color w:val="000000" w:themeColor="text1"/>
          <w:sz w:val="20"/>
        </w:rPr>
        <w:t xml:space="preserve"> Cross-attention fusion over logs and metrics, ablating graph traces.</w:t>
      </w:r>
      <w:r w:rsidRPr="00427639">
        <w:rPr>
          <w:rFonts w:ascii="Times New Roman" w:hAnsi="Times New Roman"/>
          <w:color w:val="000000" w:themeColor="text1"/>
          <w:sz w:val="20"/>
        </w:rPr>
        <w:br/>
        <w:t xml:space="preserve">7. </w:t>
      </w:r>
      <w:r w:rsidRPr="00427639">
        <w:rPr>
          <w:rFonts w:ascii="Times New Roman" w:hAnsi="Times New Roman"/>
          <w:b/>
          <w:color w:val="000000" w:themeColor="text1"/>
          <w:sz w:val="20"/>
        </w:rPr>
        <w:t>Bimodal (Metrics + Traces):</w:t>
      </w:r>
      <w:r w:rsidRPr="00427639">
        <w:rPr>
          <w:rFonts w:ascii="Times New Roman" w:hAnsi="Times New Roman"/>
          <w:color w:val="000000" w:themeColor="text1"/>
          <w:sz w:val="20"/>
        </w:rPr>
        <w:t xml:space="preserve"> Cross-attention fusion over metrics and traces, ablating lo</w:t>
      </w:r>
      <w:r w:rsidRPr="00427639">
        <w:rPr>
          <w:rFonts w:ascii="Times New Roman" w:hAnsi="Times New Roman"/>
          <w:color w:val="000000" w:themeColor="text1"/>
          <w:sz w:val="20"/>
        </w:rPr>
        <w:t>gs.</w:t>
      </w:r>
      <w:r w:rsidRPr="00427639">
        <w:rPr>
          <w:rFonts w:ascii="Times New Roman" w:hAnsi="Times New Roman"/>
          <w:color w:val="000000" w:themeColor="text1"/>
          <w:sz w:val="20"/>
        </w:rPr>
        <w:br/>
        <w:t xml:space="preserve">8. </w:t>
      </w:r>
      <w:r w:rsidRPr="00427639">
        <w:rPr>
          <w:rFonts w:ascii="Times New Roman" w:hAnsi="Times New Roman"/>
          <w:b/>
          <w:color w:val="000000" w:themeColor="text1"/>
          <w:sz w:val="20"/>
        </w:rPr>
        <w:t>ORCA (Multimodal):</w:t>
      </w:r>
      <w:r w:rsidRPr="00427639">
        <w:rPr>
          <w:rFonts w:ascii="Times New Roman" w:hAnsi="Times New Roman"/>
          <w:color w:val="000000" w:themeColor="text1"/>
          <w:sz w:val="20"/>
        </w:rPr>
        <w:t xml:space="preserve"> Full tri-modal architecture with cross-attention fusion.</w:t>
      </w:r>
      <w:r w:rsidRPr="00427639">
        <w:rPr>
          <w:rFonts w:ascii="Times New Roman" w:hAnsi="Times New Roman"/>
          <w:color w:val="000000" w:themeColor="text1"/>
          <w:sz w:val="20"/>
        </w:rPr>
        <w:br/>
        <w:t xml:space="preserve">9. </w:t>
      </w:r>
      <w:r w:rsidRPr="00427639">
        <w:rPr>
          <w:rFonts w:ascii="Times New Roman" w:hAnsi="Times New Roman"/>
          <w:b/>
          <w:color w:val="000000" w:themeColor="text1"/>
          <w:sz w:val="20"/>
        </w:rPr>
        <w:t>ORCA (Calibrated):</w:t>
      </w:r>
      <w:r w:rsidRPr="00427639">
        <w:rPr>
          <w:rFonts w:ascii="Times New Roman" w:hAnsi="Times New Roman"/>
          <w:color w:val="000000" w:themeColor="text1"/>
          <w:sz w:val="20"/>
        </w:rPr>
        <w:t xml:space="preserve"> Full tri-modal architecture with post-hoc temperature scaling.</w:t>
      </w:r>
      <w:r w:rsidRPr="00427639">
        <w:rPr>
          <w:rFonts w:ascii="Times New Roman" w:hAnsi="Times New Roman"/>
          <w:color w:val="000000" w:themeColor="text1"/>
          <w:sz w:val="20"/>
        </w:rPr>
        <w:br/>
        <w:t xml:space="preserve">10. </w:t>
      </w:r>
      <w:r w:rsidRPr="00427639">
        <w:rPr>
          <w:rFonts w:ascii="Times New Roman" w:hAnsi="Times New Roman"/>
          <w:b/>
          <w:color w:val="000000" w:themeColor="text1"/>
          <w:sz w:val="20"/>
        </w:rPr>
        <w:t>MicroCause (ACM WWW'25) [25]:</w:t>
      </w:r>
      <w:r w:rsidRPr="00427639">
        <w:rPr>
          <w:rFonts w:ascii="Times New Roman" w:hAnsi="Times New Roman"/>
          <w:color w:val="000000" w:themeColor="text1"/>
          <w:sz w:val="20"/>
        </w:rPr>
        <w:t xml:space="preserve"> Path analysis and causal inference over traces and met</w:t>
      </w:r>
      <w:r w:rsidRPr="00427639">
        <w:rPr>
          <w:rFonts w:ascii="Times New Roman" w:hAnsi="Times New Roman"/>
          <w:color w:val="000000" w:themeColor="text1"/>
          <w:sz w:val="20"/>
        </w:rPr>
        <w:t>rics.</w:t>
      </w:r>
      <w:r w:rsidRPr="00427639">
        <w:rPr>
          <w:rFonts w:ascii="Times New Roman" w:hAnsi="Times New Roman"/>
          <w:color w:val="000000" w:themeColor="text1"/>
          <w:sz w:val="20"/>
        </w:rPr>
        <w:br/>
        <w:t xml:space="preserve">11. </w:t>
      </w:r>
      <w:r w:rsidRPr="00427639">
        <w:rPr>
          <w:rFonts w:ascii="Times New Roman" w:hAnsi="Times New Roman"/>
          <w:b/>
          <w:color w:val="000000" w:themeColor="text1"/>
          <w:sz w:val="20"/>
        </w:rPr>
        <w:t>BARO (ACM FSE'24) [26]:</w:t>
      </w:r>
      <w:r w:rsidRPr="00427639">
        <w:rPr>
          <w:rFonts w:ascii="Times New Roman" w:hAnsi="Times New Roman"/>
          <w:color w:val="000000" w:themeColor="text1"/>
          <w:sz w:val="20"/>
        </w:rPr>
        <w:t xml:space="preserve"> Bidirectional change-point detection and causal discovery over metrics.</w:t>
      </w:r>
      <w:r w:rsidRPr="00427639">
        <w:rPr>
          <w:rFonts w:ascii="Times New Roman" w:hAnsi="Times New Roman"/>
          <w:color w:val="000000" w:themeColor="text1"/>
          <w:sz w:val="20"/>
        </w:rPr>
        <w:br/>
        <w:t xml:space="preserve">12. </w:t>
      </w:r>
      <w:r w:rsidRPr="00427639">
        <w:rPr>
          <w:rFonts w:ascii="Times New Roman" w:hAnsi="Times New Roman"/>
          <w:b/>
          <w:color w:val="000000" w:themeColor="text1"/>
          <w:sz w:val="20"/>
        </w:rPr>
        <w:t>TraceAnomaly (IEEE ICSE'20) [17]:</w:t>
      </w:r>
      <w:r w:rsidRPr="00427639">
        <w:rPr>
          <w:rFonts w:ascii="Times New Roman" w:hAnsi="Times New Roman"/>
          <w:color w:val="000000" w:themeColor="text1"/>
          <w:sz w:val="20"/>
        </w:rPr>
        <w:t xml:space="preserve"> Deep Bayesian representation learning over trace paths.</w:t>
      </w:r>
    </w:p>
    <w:p w:rsidR="002D3B39" w:rsidRPr="00427639" w:rsidRDefault="00626F8C">
      <w:pPr>
        <w:keepNext/>
        <w:spacing w:before="280" w:after="80"/>
        <w:rPr>
          <w:color w:val="000000" w:themeColor="text1"/>
        </w:rPr>
      </w:pPr>
      <w:r w:rsidRPr="00427639">
        <w:rPr>
          <w:rFonts w:ascii="Times New Roman" w:hAnsi="Times New Roman"/>
          <w:b/>
          <w:color w:val="000000" w:themeColor="text1"/>
          <w:sz w:val="26"/>
        </w:rPr>
        <w:lastRenderedPageBreak/>
        <w:t>6. RESULTS &amp; COMPARATIVE ANALYSIS</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 xml:space="preserve">6.1 Quantitative </w:t>
      </w:r>
      <w:r w:rsidRPr="00427639">
        <w:rPr>
          <w:rFonts w:ascii="Times New Roman" w:hAnsi="Times New Roman"/>
          <w:b/>
          <w:color w:val="000000" w:themeColor="text1"/>
          <w:sz w:val="23"/>
        </w:rPr>
        <w:t>Comparative Evaluation</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Table III presents the comprehensive empirical evaluation comparing all eight locally evaluated conditions and external literature benchmarks on the held-out test split of 288 windows.</w:t>
      </w:r>
    </w:p>
    <w:tbl>
      <w:tblPr>
        <w:tblW w:w="0" w:type="auto"/>
        <w:jc w:val="center"/>
        <w:tblLook w:val="04A0" w:firstRow="1" w:lastRow="0" w:firstColumn="1" w:lastColumn="0" w:noHBand="0" w:noVBand="1"/>
      </w:tblPr>
      <w:tblGrid>
        <w:gridCol w:w="1765"/>
        <w:gridCol w:w="1834"/>
        <w:gridCol w:w="1019"/>
        <w:gridCol w:w="1114"/>
        <w:gridCol w:w="1087"/>
        <w:gridCol w:w="931"/>
        <w:gridCol w:w="827"/>
        <w:gridCol w:w="956"/>
        <w:gridCol w:w="827"/>
      </w:tblGrid>
      <w:tr w:rsidR="00427639" w:rsidRPr="00427639">
        <w:trPr>
          <w:jc w:val="center"/>
        </w:trPr>
        <w:tc>
          <w:tcPr>
            <w:tcW w:w="1872"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Method</w:t>
            </w:r>
          </w:p>
        </w:tc>
        <w:tc>
          <w:tcPr>
            <w:tcW w:w="1728"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Modalities</w:t>
            </w:r>
          </w:p>
        </w:tc>
        <w:tc>
          <w:tcPr>
            <w:tcW w:w="1008"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Anomaly F1</w:t>
            </w:r>
          </w:p>
        </w:tc>
        <w:tc>
          <w:tcPr>
            <w:tcW w:w="1152"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Anomaly ROC-AUC</w:t>
            </w:r>
          </w:p>
        </w:tc>
        <w:tc>
          <w:tcPr>
            <w:tcW w:w="1152"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RCA</w:t>
            </w:r>
            <w:r w:rsidRPr="00427639">
              <w:rPr>
                <w:rFonts w:ascii="Times New Roman" w:hAnsi="Times New Roman"/>
                <w:b/>
                <w:color w:val="000000" w:themeColor="text1"/>
                <w:sz w:val="19"/>
              </w:rPr>
              <w:t xml:space="preserve"> Top-1 (Active)</w:t>
            </w:r>
          </w:p>
        </w:tc>
        <w:tc>
          <w:tcPr>
            <w:tcW w:w="1008"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RCA Top-3 Acc</w:t>
            </w:r>
          </w:p>
        </w:tc>
        <w:tc>
          <w:tcPr>
            <w:tcW w:w="864"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RCA MRR</w:t>
            </w:r>
          </w:p>
        </w:tc>
        <w:tc>
          <w:tcPr>
            <w:tcW w:w="1008"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ECE (10-bin)</w:t>
            </w:r>
          </w:p>
        </w:tc>
        <w:tc>
          <w:tcPr>
            <w:tcW w:w="864"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Brier Score</w:t>
            </w:r>
          </w:p>
        </w:tc>
      </w:tr>
      <w:tr w:rsidR="00427639" w:rsidRPr="00427639">
        <w:trPr>
          <w:jc w:val="center"/>
        </w:trPr>
        <w:tc>
          <w:tcPr>
            <w:tcW w:w="1872"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IsolationForest</w:t>
            </w:r>
            <w:proofErr w:type="spellEnd"/>
            <w:r w:rsidRPr="00427639">
              <w:rPr>
                <w:rFonts w:ascii="Times New Roman" w:hAnsi="Times New Roman"/>
                <w:color w:val="000000" w:themeColor="text1"/>
                <w:sz w:val="18"/>
              </w:rPr>
              <w:t xml:space="preserve"> [14]</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Metrics</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0.8293</w:t>
            </w:r>
          </w:p>
        </w:tc>
        <w:tc>
          <w:tcPr>
            <w:tcW w:w="115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0.8233</w:t>
            </w:r>
          </w:p>
        </w:tc>
        <w:tc>
          <w:tcPr>
            <w:tcW w:w="115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0.1000</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0.3000</w:t>
            </w:r>
          </w:p>
        </w:tc>
        <w:tc>
          <w:tcPr>
            <w:tcW w:w="86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0.2900</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N/A</w:t>
            </w:r>
          </w:p>
        </w:tc>
        <w:tc>
          <w:tcPr>
            <w:tcW w:w="86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N/A</w:t>
            </w:r>
          </w:p>
        </w:tc>
      </w:tr>
      <w:tr w:rsidR="00427639" w:rsidRPr="00427639">
        <w:trPr>
          <w:jc w:val="center"/>
        </w:trPr>
        <w:tc>
          <w:tcPr>
            <w:tcW w:w="1872"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XGBoost</w:t>
            </w:r>
            <w:proofErr w:type="spellEnd"/>
            <w:r w:rsidRPr="00427639">
              <w:rPr>
                <w:rFonts w:ascii="Times New Roman" w:hAnsi="Times New Roman"/>
                <w:color w:val="000000" w:themeColor="text1"/>
                <w:sz w:val="18"/>
              </w:rPr>
              <w:t xml:space="preserve"> [30]</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Metrics</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0.8512</w:t>
            </w:r>
          </w:p>
        </w:tc>
        <w:tc>
          <w:tcPr>
            <w:tcW w:w="115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0.9875</w:t>
            </w:r>
          </w:p>
        </w:tc>
        <w:tc>
          <w:tcPr>
            <w:tcW w:w="115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0.6667</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1.0000</w:t>
            </w:r>
          </w:p>
        </w:tc>
        <w:tc>
          <w:tcPr>
            <w:tcW w:w="86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0.8304</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N/A</w:t>
            </w:r>
          </w:p>
        </w:tc>
        <w:tc>
          <w:tcPr>
            <w:tcW w:w="86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N/A</w:t>
            </w:r>
          </w:p>
        </w:tc>
      </w:tr>
      <w:tr w:rsidR="00427639" w:rsidRPr="00427639">
        <w:trPr>
          <w:jc w:val="center"/>
        </w:trPr>
        <w:tc>
          <w:tcPr>
            <w:tcW w:w="1872"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Log_Only</w:t>
            </w:r>
            <w:proofErr w:type="spellEnd"/>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Logs</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0.0000</w:t>
            </w:r>
          </w:p>
        </w:tc>
        <w:tc>
          <w:tcPr>
            <w:tcW w:w="115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0.5157</w:t>
            </w:r>
          </w:p>
        </w:tc>
        <w:tc>
          <w:tcPr>
            <w:tcW w:w="115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0.0000</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0.3333</w:t>
            </w:r>
          </w:p>
        </w:tc>
        <w:tc>
          <w:tcPr>
            <w:tcW w:w="86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0.2361</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10.00%</w:t>
            </w:r>
          </w:p>
        </w:tc>
        <w:tc>
          <w:tcPr>
            <w:tcW w:w="86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0.9000</w:t>
            </w:r>
          </w:p>
        </w:tc>
      </w:tr>
      <w:tr w:rsidR="00427639" w:rsidRPr="00427639">
        <w:trPr>
          <w:jc w:val="center"/>
        </w:trPr>
        <w:tc>
          <w:tcPr>
            <w:tcW w:w="1872"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Metric_Only</w:t>
            </w:r>
            <w:proofErr w:type="spellEnd"/>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Metrics</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0.9650</w:t>
            </w:r>
          </w:p>
        </w:tc>
        <w:tc>
          <w:tcPr>
            <w:tcW w:w="115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0.9567</w:t>
            </w:r>
          </w:p>
        </w:tc>
        <w:tc>
          <w:tcPr>
            <w:tcW w:w="115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0.0000</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0.3333</w:t>
            </w:r>
          </w:p>
        </w:tc>
        <w:tc>
          <w:tcPr>
            <w:tcW w:w="86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0.2361</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10.00%</w:t>
            </w:r>
          </w:p>
        </w:tc>
        <w:tc>
          <w:tcPr>
            <w:tcW w:w="86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0.9000</w:t>
            </w:r>
          </w:p>
        </w:tc>
      </w:tr>
      <w:tr w:rsidR="00427639" w:rsidRPr="00427639">
        <w:trPr>
          <w:jc w:val="center"/>
        </w:trPr>
        <w:tc>
          <w:tcPr>
            <w:tcW w:w="1872"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Trace_Only</w:t>
            </w:r>
            <w:proofErr w:type="spellEnd"/>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Traces</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0.0000</w:t>
            </w:r>
          </w:p>
        </w:tc>
        <w:tc>
          <w:tcPr>
            <w:tcW w:w="115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0.3233</w:t>
            </w:r>
          </w:p>
        </w:tc>
        <w:tc>
          <w:tcPr>
            <w:tcW w:w="115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b/>
                <w:color w:val="000000" w:themeColor="text1"/>
                <w:sz w:val="18"/>
              </w:rPr>
              <w:t>0.9792</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0.6875</w:t>
            </w:r>
          </w:p>
        </w:tc>
        <w:tc>
          <w:tcPr>
            <w:tcW w:w="86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0.6511</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37.25%</w:t>
            </w:r>
          </w:p>
        </w:tc>
        <w:tc>
          <w:tcPr>
            <w:tcW w:w="86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0.2269</w:t>
            </w:r>
          </w:p>
        </w:tc>
      </w:tr>
      <w:tr w:rsidR="00427639" w:rsidRPr="00427639">
        <w:trPr>
          <w:jc w:val="center"/>
        </w:trPr>
        <w:tc>
          <w:tcPr>
            <w:tcW w:w="1872"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Bimodal (</w:t>
            </w:r>
            <w:proofErr w:type="spellStart"/>
            <w:r w:rsidRPr="00427639">
              <w:rPr>
                <w:rFonts w:ascii="Times New Roman" w:hAnsi="Times New Roman"/>
                <w:color w:val="000000" w:themeColor="text1"/>
                <w:sz w:val="18"/>
              </w:rPr>
              <w:t>Logs+Metrics</w:t>
            </w:r>
            <w:proofErr w:type="spellEnd"/>
            <w:r w:rsidRPr="00427639">
              <w:rPr>
                <w:rFonts w:ascii="Times New Roman" w:hAnsi="Times New Roman"/>
                <w:color w:val="000000" w:themeColor="text1"/>
                <w:sz w:val="18"/>
              </w:rPr>
              <w:t>)</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Logs + Metrics</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0.9650</w:t>
            </w:r>
          </w:p>
        </w:tc>
        <w:tc>
          <w:tcPr>
            <w:tcW w:w="115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b/>
                <w:color w:val="000000" w:themeColor="text1"/>
                <w:sz w:val="18"/>
              </w:rPr>
              <w:t>0.9799</w:t>
            </w:r>
          </w:p>
        </w:tc>
        <w:tc>
          <w:tcPr>
            <w:tcW w:w="115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0.0000</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0.3333</w:t>
            </w:r>
          </w:p>
        </w:tc>
        <w:tc>
          <w:tcPr>
            <w:tcW w:w="86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0.2361</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10.00%</w:t>
            </w:r>
          </w:p>
        </w:tc>
        <w:tc>
          <w:tcPr>
            <w:tcW w:w="86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0.9000</w:t>
            </w:r>
          </w:p>
        </w:tc>
      </w:tr>
      <w:tr w:rsidR="00427639" w:rsidRPr="00427639">
        <w:trPr>
          <w:jc w:val="center"/>
        </w:trPr>
        <w:tc>
          <w:tcPr>
            <w:tcW w:w="1872"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 xml:space="preserve">Bimodal </w:t>
            </w:r>
            <w:r w:rsidRPr="00427639">
              <w:rPr>
                <w:rFonts w:ascii="Times New Roman" w:hAnsi="Times New Roman"/>
                <w:color w:val="000000" w:themeColor="text1"/>
                <w:sz w:val="18"/>
              </w:rPr>
              <w:t>(</w:t>
            </w:r>
            <w:proofErr w:type="spellStart"/>
            <w:r w:rsidRPr="00427639">
              <w:rPr>
                <w:rFonts w:ascii="Times New Roman" w:hAnsi="Times New Roman"/>
                <w:color w:val="000000" w:themeColor="text1"/>
                <w:sz w:val="18"/>
              </w:rPr>
              <w:t>Metrics+Traces</w:t>
            </w:r>
            <w:proofErr w:type="spellEnd"/>
            <w:r w:rsidRPr="00427639">
              <w:rPr>
                <w:rFonts w:ascii="Times New Roman" w:hAnsi="Times New Roman"/>
                <w:color w:val="000000" w:themeColor="text1"/>
                <w:sz w:val="18"/>
              </w:rPr>
              <w:t>)</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Metrics + Traces</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0.9650</w:t>
            </w:r>
          </w:p>
        </w:tc>
        <w:tc>
          <w:tcPr>
            <w:tcW w:w="115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0.9785</w:t>
            </w:r>
          </w:p>
        </w:tc>
        <w:tc>
          <w:tcPr>
            <w:tcW w:w="115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b/>
                <w:color w:val="000000" w:themeColor="text1"/>
                <w:sz w:val="18"/>
              </w:rPr>
              <w:t>0.9792</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0.6944</w:t>
            </w:r>
          </w:p>
        </w:tc>
        <w:tc>
          <w:tcPr>
            <w:tcW w:w="86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0.6523</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35.31%</w:t>
            </w:r>
          </w:p>
        </w:tc>
        <w:tc>
          <w:tcPr>
            <w:tcW w:w="86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0.2101</w:t>
            </w:r>
          </w:p>
        </w:tc>
      </w:tr>
      <w:tr w:rsidR="00427639" w:rsidRPr="00427639">
        <w:trPr>
          <w:jc w:val="center"/>
        </w:trPr>
        <w:tc>
          <w:tcPr>
            <w:tcW w:w="1872"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ORCA (Multimodal)</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Logs+Metrics+Traces</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b/>
                <w:color w:val="000000" w:themeColor="text1"/>
                <w:sz w:val="18"/>
              </w:rPr>
              <w:t>0.9650</w:t>
            </w:r>
          </w:p>
        </w:tc>
        <w:tc>
          <w:tcPr>
            <w:tcW w:w="115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0.9775</w:t>
            </w:r>
          </w:p>
        </w:tc>
        <w:tc>
          <w:tcPr>
            <w:tcW w:w="115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b/>
                <w:color w:val="000000" w:themeColor="text1"/>
                <w:sz w:val="18"/>
              </w:rPr>
              <w:t>0.9792</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0.6944</w:t>
            </w:r>
          </w:p>
        </w:tc>
        <w:tc>
          <w:tcPr>
            <w:tcW w:w="86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0.6520</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33.77%</w:t>
            </w:r>
          </w:p>
        </w:tc>
        <w:tc>
          <w:tcPr>
            <w:tcW w:w="86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0.1977</w:t>
            </w:r>
          </w:p>
        </w:tc>
      </w:tr>
      <w:tr w:rsidR="00427639" w:rsidRPr="00427639">
        <w:trPr>
          <w:jc w:val="center"/>
        </w:trPr>
        <w:tc>
          <w:tcPr>
            <w:tcW w:w="1872"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ORCA (Calibrated)</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Logs+Metrics+Traces</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b/>
                <w:color w:val="000000" w:themeColor="text1"/>
                <w:sz w:val="18"/>
              </w:rPr>
              <w:t>0.9650</w:t>
            </w:r>
          </w:p>
        </w:tc>
        <w:tc>
          <w:tcPr>
            <w:tcW w:w="115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0.9775</w:t>
            </w:r>
          </w:p>
        </w:tc>
        <w:tc>
          <w:tcPr>
            <w:tcW w:w="115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b/>
                <w:color w:val="000000" w:themeColor="text1"/>
                <w:sz w:val="18"/>
              </w:rPr>
              <w:t>0.9792</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b/>
                <w:color w:val="000000" w:themeColor="text1"/>
                <w:sz w:val="18"/>
              </w:rPr>
              <w:t>0.6944</w:t>
            </w:r>
          </w:p>
        </w:tc>
        <w:tc>
          <w:tcPr>
            <w:tcW w:w="86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b/>
                <w:color w:val="000000" w:themeColor="text1"/>
                <w:sz w:val="18"/>
              </w:rPr>
              <w:t>0.6520</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b/>
                <w:color w:val="000000" w:themeColor="text1"/>
                <w:sz w:val="18"/>
              </w:rPr>
              <w:t>25.20%</w:t>
            </w:r>
          </w:p>
        </w:tc>
        <w:tc>
          <w:tcPr>
            <w:tcW w:w="86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b/>
                <w:color w:val="000000" w:themeColor="text1"/>
                <w:sz w:val="18"/>
              </w:rPr>
              <w:t>0.1377</w:t>
            </w:r>
          </w:p>
        </w:tc>
      </w:tr>
      <w:tr w:rsidR="00427639" w:rsidRPr="00427639">
        <w:trPr>
          <w:jc w:val="center"/>
        </w:trPr>
        <w:tc>
          <w:tcPr>
            <w:tcW w:w="1872"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MicroCause</w:t>
            </w:r>
            <w:proofErr w:type="spellEnd"/>
            <w:r w:rsidRPr="00427639">
              <w:rPr>
                <w:rFonts w:ascii="Times New Roman" w:hAnsi="Times New Roman"/>
                <w:color w:val="000000" w:themeColor="text1"/>
                <w:sz w:val="18"/>
              </w:rPr>
              <w:t xml:space="preserve"> (WWW'25) [25]</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Traces + Metrics</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0.7820</w:t>
            </w:r>
          </w:p>
        </w:tc>
        <w:tc>
          <w:tcPr>
            <w:tcW w:w="115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0.8140</w:t>
            </w:r>
          </w:p>
        </w:tc>
        <w:tc>
          <w:tcPr>
            <w:tcW w:w="115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0.6400</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0.7900</w:t>
            </w:r>
          </w:p>
        </w:tc>
        <w:tc>
          <w:tcPr>
            <w:tcW w:w="86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0.7100</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N/A</w:t>
            </w:r>
          </w:p>
        </w:tc>
        <w:tc>
          <w:tcPr>
            <w:tcW w:w="86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N/A</w:t>
            </w:r>
          </w:p>
        </w:tc>
      </w:tr>
      <w:tr w:rsidR="00427639" w:rsidRPr="00427639">
        <w:trPr>
          <w:jc w:val="center"/>
        </w:trPr>
        <w:tc>
          <w:tcPr>
            <w:tcW w:w="1872"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BARO (FSE'24) [26]</w:t>
            </w:r>
          </w:p>
        </w:tc>
        <w:tc>
          <w:tcPr>
            <w:tcW w:w="172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Metrics</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0.7650</w:t>
            </w:r>
          </w:p>
        </w:tc>
        <w:tc>
          <w:tcPr>
            <w:tcW w:w="115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0.7980</w:t>
            </w:r>
          </w:p>
        </w:tc>
        <w:tc>
          <w:tcPr>
            <w:tcW w:w="1152"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0.6800</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0.8200</w:t>
            </w:r>
          </w:p>
        </w:tc>
        <w:tc>
          <w:tcPr>
            <w:tcW w:w="86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0.7400</w:t>
            </w:r>
          </w:p>
        </w:tc>
        <w:tc>
          <w:tcPr>
            <w:tcW w:w="1008"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N/A</w:t>
            </w:r>
          </w:p>
        </w:tc>
        <w:tc>
          <w:tcPr>
            <w:tcW w:w="86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N/A</w:t>
            </w:r>
          </w:p>
        </w:tc>
      </w:tr>
      <w:tr w:rsidR="00427639" w:rsidRPr="00427639">
        <w:trPr>
          <w:jc w:val="center"/>
        </w:trPr>
        <w:tc>
          <w:tcPr>
            <w:tcW w:w="1872"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proofErr w:type="spellStart"/>
            <w:r w:rsidRPr="00427639">
              <w:rPr>
                <w:rFonts w:ascii="Times New Roman" w:hAnsi="Times New Roman"/>
                <w:color w:val="000000" w:themeColor="text1"/>
                <w:sz w:val="18"/>
              </w:rPr>
              <w:t>TraceAnomaly</w:t>
            </w:r>
            <w:proofErr w:type="spellEnd"/>
            <w:r w:rsidRPr="00427639">
              <w:rPr>
                <w:rFonts w:ascii="Times New Roman" w:hAnsi="Times New Roman"/>
                <w:color w:val="000000" w:themeColor="text1"/>
                <w:sz w:val="18"/>
              </w:rPr>
              <w:t xml:space="preserve"> (ICSE'20) [17]</w:t>
            </w:r>
          </w:p>
        </w:tc>
        <w:tc>
          <w:tcPr>
            <w:tcW w:w="172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Traces</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0.7310</w:t>
            </w:r>
          </w:p>
        </w:tc>
        <w:tc>
          <w:tcPr>
            <w:tcW w:w="115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0.7650</w:t>
            </w:r>
          </w:p>
        </w:tc>
        <w:tc>
          <w:tcPr>
            <w:tcW w:w="1152"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0.5800</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0.7300</w:t>
            </w:r>
          </w:p>
        </w:tc>
        <w:tc>
          <w:tcPr>
            <w:tcW w:w="86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0.6500</w:t>
            </w:r>
          </w:p>
        </w:tc>
        <w:tc>
          <w:tcPr>
            <w:tcW w:w="1008"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N/A</w:t>
            </w:r>
          </w:p>
        </w:tc>
        <w:tc>
          <w:tcPr>
            <w:tcW w:w="86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N/A</w:t>
            </w:r>
          </w:p>
        </w:tc>
      </w:tr>
    </w:tbl>
    <w:p w:rsidR="002D3B39" w:rsidRPr="00427639" w:rsidRDefault="002D3B39">
      <w:pPr>
        <w:spacing w:after="120"/>
        <w:rPr>
          <w:color w:val="000000" w:themeColor="text1"/>
        </w:rPr>
      </w:pP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 xml:space="preserve">6.2 Key </w:t>
      </w:r>
      <w:r w:rsidRPr="00427639">
        <w:rPr>
          <w:rFonts w:ascii="Times New Roman" w:hAnsi="Times New Roman"/>
          <w:b/>
          <w:color w:val="000000" w:themeColor="text1"/>
          <w:sz w:val="23"/>
        </w:rPr>
        <w:t>Empirical Findings and Modality Ablation Insights</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The empirical findings documented in Table III reveal two decisive operational insights:</w:t>
      </w:r>
      <w:r w:rsidRPr="00427639">
        <w:rPr>
          <w:rFonts w:ascii="Times New Roman" w:hAnsi="Times New Roman"/>
          <w:color w:val="000000" w:themeColor="text1"/>
          <w:sz w:val="20"/>
        </w:rPr>
        <w:br/>
        <w:t xml:space="preserve">1. </w:t>
      </w:r>
      <w:r w:rsidRPr="00427639">
        <w:rPr>
          <w:rFonts w:ascii="Times New Roman" w:hAnsi="Times New Roman"/>
          <w:b/>
          <w:color w:val="000000" w:themeColor="text1"/>
          <w:sz w:val="20"/>
        </w:rPr>
        <w:t>Continuous Metrics are the Primary Driver for Anomaly Detection:</w:t>
      </w:r>
      <w:r w:rsidRPr="00427639">
        <w:rPr>
          <w:rFonts w:ascii="Times New Roman" w:hAnsi="Times New Roman"/>
          <w:color w:val="000000" w:themeColor="text1"/>
          <w:sz w:val="20"/>
        </w:rPr>
        <w:t xml:space="preserve"> Continuous time-series metrics deliver superior performance in distinguishing normal from anomalous system states. Unimodal metrics achieve an Anomaly F1 of </w:t>
      </w:r>
      <w:r w:rsidRPr="00427639">
        <w:rPr>
          <w:rFonts w:ascii="Times New Roman" w:hAnsi="Times New Roman"/>
          <w:b/>
          <w:color w:val="000000" w:themeColor="text1"/>
          <w:sz w:val="20"/>
        </w:rPr>
        <w:t>0.9650</w:t>
      </w:r>
      <w:r w:rsidRPr="00427639">
        <w:rPr>
          <w:rFonts w:ascii="Times New Roman" w:hAnsi="Times New Roman"/>
          <w:color w:val="000000" w:themeColor="text1"/>
          <w:sz w:val="20"/>
        </w:rPr>
        <w:t xml:space="preserve"> and ROC-AUC of </w:t>
      </w:r>
      <w:r w:rsidRPr="00427639">
        <w:rPr>
          <w:rFonts w:ascii="Times New Roman" w:hAnsi="Times New Roman"/>
          <w:b/>
          <w:color w:val="000000" w:themeColor="text1"/>
          <w:sz w:val="20"/>
        </w:rPr>
        <w:t>0.9567</w:t>
      </w:r>
      <w:r w:rsidRPr="00427639">
        <w:rPr>
          <w:rFonts w:ascii="Times New Roman" w:hAnsi="Times New Roman"/>
          <w:color w:val="000000" w:themeColor="text1"/>
          <w:sz w:val="20"/>
        </w:rPr>
        <w:t>. Fusing metrics with logs and traces via cross-attention elevates ROC</w:t>
      </w:r>
      <w:r w:rsidRPr="00427639">
        <w:rPr>
          <w:rFonts w:ascii="Times New Roman" w:hAnsi="Times New Roman"/>
          <w:color w:val="000000" w:themeColor="text1"/>
          <w:sz w:val="20"/>
        </w:rPr>
        <w:t xml:space="preserve">-AUC to </w:t>
      </w:r>
      <w:r w:rsidRPr="00427639">
        <w:rPr>
          <w:rFonts w:ascii="Times New Roman" w:hAnsi="Times New Roman"/>
          <w:b/>
          <w:color w:val="000000" w:themeColor="text1"/>
          <w:sz w:val="20"/>
        </w:rPr>
        <w:t>0.9775</w:t>
      </w:r>
      <w:r w:rsidRPr="00427639">
        <w:rPr>
          <w:rFonts w:ascii="Times New Roman" w:hAnsi="Times New Roman"/>
          <w:color w:val="000000" w:themeColor="text1"/>
          <w:sz w:val="20"/>
        </w:rPr>
        <w:t xml:space="preserve"> (and 0.9799 in bimodal logs+metrics), achieving a Precision of </w:t>
      </w:r>
      <w:r w:rsidRPr="00427639">
        <w:rPr>
          <w:rFonts w:ascii="Times New Roman" w:hAnsi="Times New Roman"/>
          <w:b/>
          <w:color w:val="000000" w:themeColor="text1"/>
          <w:sz w:val="20"/>
        </w:rPr>
        <w:t>0.9718</w:t>
      </w:r>
      <w:r w:rsidRPr="00427639">
        <w:rPr>
          <w:rFonts w:ascii="Times New Roman" w:hAnsi="Times New Roman"/>
          <w:color w:val="000000" w:themeColor="text1"/>
          <w:sz w:val="20"/>
        </w:rPr>
        <w:t xml:space="preserve"> and Recall of </w:t>
      </w:r>
      <w:r w:rsidRPr="00427639">
        <w:rPr>
          <w:rFonts w:ascii="Times New Roman" w:hAnsi="Times New Roman"/>
          <w:b/>
          <w:color w:val="000000" w:themeColor="text1"/>
          <w:sz w:val="20"/>
        </w:rPr>
        <w:t>0.9583</w:t>
      </w:r>
      <w:r w:rsidRPr="00427639">
        <w:rPr>
          <w:rFonts w:ascii="Times New Roman" w:hAnsi="Times New Roman"/>
          <w:color w:val="000000" w:themeColor="text1"/>
          <w:sz w:val="20"/>
        </w:rPr>
        <w:t>. In contrast, unimodal log and trace models fail completely at binary classification (F1: 0.0000) because normal baseline traffic also continuously em</w:t>
      </w:r>
      <w:r w:rsidRPr="00427639">
        <w:rPr>
          <w:rFonts w:ascii="Times New Roman" w:hAnsi="Times New Roman"/>
          <w:color w:val="000000" w:themeColor="text1"/>
          <w:sz w:val="20"/>
        </w:rPr>
        <w:t>its logs and trace spans, rendering thresholding impossible without metric magnitude context.</w:t>
      </w:r>
      <w:r w:rsidRPr="00427639">
        <w:rPr>
          <w:rFonts w:ascii="Times New Roman" w:hAnsi="Times New Roman"/>
          <w:color w:val="000000" w:themeColor="text1"/>
          <w:sz w:val="20"/>
        </w:rPr>
        <w:br/>
        <w:t xml:space="preserve">2. </w:t>
      </w:r>
      <w:r w:rsidRPr="00427639">
        <w:rPr>
          <w:rFonts w:ascii="Times New Roman" w:hAnsi="Times New Roman"/>
          <w:b/>
          <w:color w:val="000000" w:themeColor="text1"/>
          <w:sz w:val="20"/>
        </w:rPr>
        <w:t>Trace Dependency Graphs are Indispensable for Root-Cause Localization:</w:t>
      </w:r>
      <w:r w:rsidRPr="00427639">
        <w:rPr>
          <w:rFonts w:ascii="Times New Roman" w:hAnsi="Times New Roman"/>
          <w:color w:val="000000" w:themeColor="text1"/>
          <w:sz w:val="20"/>
        </w:rPr>
        <w:t xml:space="preserve"> The most striking empirical discovery is that </w:t>
      </w:r>
      <w:r w:rsidRPr="00427639">
        <w:rPr>
          <w:rFonts w:ascii="Times New Roman" w:hAnsi="Times New Roman"/>
          <w:b/>
          <w:color w:val="000000" w:themeColor="text1"/>
          <w:sz w:val="20"/>
        </w:rPr>
        <w:t>unimodal logs and unimodal metrics both fa</w:t>
      </w:r>
      <w:r w:rsidRPr="00427639">
        <w:rPr>
          <w:rFonts w:ascii="Times New Roman" w:hAnsi="Times New Roman"/>
          <w:b/>
          <w:color w:val="000000" w:themeColor="text1"/>
          <w:sz w:val="20"/>
        </w:rPr>
        <w:t>il completely at Top-1 Root-Cause Localization (Top-1 Accuracy: 0.0000; MRR: 0.2361)</w:t>
      </w:r>
      <w:r w:rsidRPr="00427639">
        <w:rPr>
          <w:rFonts w:ascii="Times New Roman" w:hAnsi="Times New Roman"/>
          <w:color w:val="000000" w:themeColor="text1"/>
          <w:sz w:val="20"/>
        </w:rPr>
        <w:t>. When a microservice (e.g., `paymentservice`) experiences CPU starvation, its calling services (`checkoutservice`, `frontend`) immediately register severe latency surges a</w:t>
      </w:r>
      <w:r w:rsidRPr="00427639">
        <w:rPr>
          <w:rFonts w:ascii="Times New Roman" w:hAnsi="Times New Roman"/>
          <w:color w:val="000000" w:themeColor="text1"/>
          <w:sz w:val="20"/>
        </w:rPr>
        <w:t xml:space="preserve">nd thread pool contention. Because metric and log models lack invocation topology awareness, they cannot determine which service initiated the failure cascade. Introducing the </w:t>
      </w:r>
      <w:r w:rsidRPr="00427639">
        <w:rPr>
          <w:rFonts w:ascii="Times New Roman" w:hAnsi="Times New Roman"/>
          <w:b/>
          <w:color w:val="000000" w:themeColor="text1"/>
          <w:sz w:val="20"/>
        </w:rPr>
        <w:t>GATv2 Graph Neural Network over distributed trace dependencies immediately unloc</w:t>
      </w:r>
      <w:r w:rsidRPr="00427639">
        <w:rPr>
          <w:rFonts w:ascii="Times New Roman" w:hAnsi="Times New Roman"/>
          <w:b/>
          <w:color w:val="000000" w:themeColor="text1"/>
          <w:sz w:val="20"/>
        </w:rPr>
        <w:t xml:space="preserve">ks a Top-1 Active </w:t>
      </w:r>
      <w:r w:rsidRPr="00427639">
        <w:rPr>
          <w:rFonts w:ascii="Times New Roman" w:hAnsi="Times New Roman"/>
          <w:b/>
          <w:color w:val="000000" w:themeColor="text1"/>
          <w:sz w:val="20"/>
        </w:rPr>
        <w:lastRenderedPageBreak/>
        <w:t>Localization Accuracy of 97.92% and lifts the Mean Reciprocal Rank to 0.6520</w:t>
      </w:r>
      <w:r w:rsidRPr="00427639">
        <w:rPr>
          <w:rFonts w:ascii="Times New Roman" w:hAnsi="Times New Roman"/>
          <w:color w:val="000000" w:themeColor="text1"/>
          <w:sz w:val="20"/>
        </w:rPr>
        <w:t>. GATv2 directional attention backtracks latency bottlenecks to the terminal callee, resolving cascading ambiguities that cripple non-graph baselines.</w:t>
      </w:r>
    </w:p>
    <w:p w:rsidR="002D3B39" w:rsidRPr="00427639" w:rsidRDefault="00626F8C">
      <w:pPr>
        <w:spacing w:before="160" w:after="60"/>
        <w:jc w:val="center"/>
        <w:rPr>
          <w:color w:val="000000" w:themeColor="text1"/>
        </w:rPr>
      </w:pPr>
      <w:r w:rsidRPr="00427639">
        <w:rPr>
          <w:noProof/>
          <w:color w:val="000000" w:themeColor="text1"/>
          <w:lang w:val="en-IN" w:eastAsia="en-IN"/>
        </w:rPr>
        <w:drawing>
          <wp:inline distT="0" distB="0" distL="0" distR="0" wp14:anchorId="480E228E" wp14:editId="61507B59">
            <wp:extent cx="5669280" cy="472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fusion_matrix.png"/>
                    <pic:cNvPicPr/>
                  </pic:nvPicPr>
                  <pic:blipFill>
                    <a:blip r:embed="rId10"/>
                    <a:stretch>
                      <a:fillRect/>
                    </a:stretch>
                  </pic:blipFill>
                  <pic:spPr>
                    <a:xfrm>
                      <a:off x="0" y="0"/>
                      <a:ext cx="5669280" cy="4724400"/>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Figure 3:</w:t>
      </w:r>
      <w:r w:rsidRPr="00427639">
        <w:rPr>
          <w:rFonts w:ascii="Times New Roman" w:hAnsi="Times New Roman"/>
          <w:i/>
          <w:color w:val="000000" w:themeColor="text1"/>
          <w:sz w:val="18"/>
        </w:rPr>
        <w:t xml:space="preserve"> Confusion matrix of ORCA on the held-out test split (288 total windows: 140 True Negatives, 138 True Positives, 4 False Positives, 6 False Negatives).</w:t>
      </w:r>
    </w:p>
    <w:p w:rsidR="002D3B39" w:rsidRPr="00427639" w:rsidRDefault="00626F8C">
      <w:pPr>
        <w:spacing w:before="160" w:after="60"/>
        <w:jc w:val="center"/>
        <w:rPr>
          <w:color w:val="000000" w:themeColor="text1"/>
        </w:rPr>
      </w:pPr>
      <w:r w:rsidRPr="00427639">
        <w:rPr>
          <w:noProof/>
          <w:color w:val="000000" w:themeColor="text1"/>
          <w:lang w:val="en-IN" w:eastAsia="en-IN"/>
        </w:rPr>
        <w:lastRenderedPageBreak/>
        <w:drawing>
          <wp:inline distT="0" distB="0" distL="0" distR="0" wp14:anchorId="6798F666" wp14:editId="72318490">
            <wp:extent cx="5669280" cy="38976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oc_curves.png"/>
                    <pic:cNvPicPr/>
                  </pic:nvPicPr>
                  <pic:blipFill>
                    <a:blip r:embed="rId11"/>
                    <a:stretch>
                      <a:fillRect/>
                    </a:stretch>
                  </pic:blipFill>
                  <pic:spPr>
                    <a:xfrm>
                      <a:off x="0" y="0"/>
                      <a:ext cx="5669280" cy="3897630"/>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Figure 4: Comparative Receiver Operating Characteristic (ROC) curves across evaluated models. ORCA ach</w:t>
      </w:r>
      <w:r w:rsidRPr="00427639">
        <w:rPr>
          <w:rFonts w:ascii="Times New Roman" w:hAnsi="Times New Roman"/>
          <w:i/>
          <w:color w:val="000000" w:themeColor="text1"/>
          <w:sz w:val="18"/>
        </w:rPr>
        <w:t>ieves an area under the curve of 0.978 compared to 0.823 for Isolation Forest.</w:t>
      </w:r>
    </w:p>
    <w:p w:rsidR="002D3B39" w:rsidRPr="00427639" w:rsidRDefault="00626F8C">
      <w:pPr>
        <w:spacing w:before="160" w:after="60"/>
        <w:jc w:val="center"/>
        <w:rPr>
          <w:color w:val="000000" w:themeColor="text1"/>
        </w:rPr>
      </w:pPr>
      <w:r w:rsidRPr="00427639">
        <w:rPr>
          <w:noProof/>
          <w:color w:val="000000" w:themeColor="text1"/>
          <w:lang w:val="en-IN" w:eastAsia="en-IN"/>
        </w:rPr>
        <w:lastRenderedPageBreak/>
        <w:drawing>
          <wp:inline distT="0" distB="0" distL="0" distR="0" wp14:anchorId="70B77C86" wp14:editId="4A311664">
            <wp:extent cx="5669280" cy="48593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ecision_recall_curves.png"/>
                    <pic:cNvPicPr/>
                  </pic:nvPicPr>
                  <pic:blipFill>
                    <a:blip r:embed="rId12"/>
                    <a:stretch>
                      <a:fillRect/>
                    </a:stretch>
                  </pic:blipFill>
                  <pic:spPr>
                    <a:xfrm>
                      <a:off x="0" y="0"/>
                      <a:ext cx="5669280" cy="4859383"/>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Figure 5: Precision-Recall curves illustrating ORCA maintaining high precision across varying operational recall thresholds.</w:t>
      </w:r>
    </w:p>
    <w:p w:rsidR="002D3B39" w:rsidRPr="00427639" w:rsidRDefault="00626F8C">
      <w:pPr>
        <w:spacing w:before="160" w:after="60"/>
        <w:jc w:val="center"/>
        <w:rPr>
          <w:color w:val="000000" w:themeColor="text1"/>
        </w:rPr>
      </w:pPr>
      <w:r w:rsidRPr="00427639">
        <w:rPr>
          <w:noProof/>
          <w:color w:val="000000" w:themeColor="text1"/>
          <w:lang w:val="en-IN" w:eastAsia="en-IN"/>
        </w:rPr>
        <w:lastRenderedPageBreak/>
        <w:drawing>
          <wp:inline distT="0" distB="0" distL="0" distR="0" wp14:anchorId="5834E1F4" wp14:editId="7FCD2F7E">
            <wp:extent cx="5669280" cy="3897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ot_cause_topk_ranking.png"/>
                    <pic:cNvPicPr/>
                  </pic:nvPicPr>
                  <pic:blipFill>
                    <a:blip r:embed="rId13"/>
                    <a:stretch>
                      <a:fillRect/>
                    </a:stretch>
                  </pic:blipFill>
                  <pic:spPr>
                    <a:xfrm>
                      <a:off x="0" y="0"/>
                      <a:ext cx="5669280" cy="3897630"/>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Figure 6: Comparative Top-K root-cause localizat</w:t>
      </w:r>
      <w:r w:rsidRPr="00427639">
        <w:rPr>
          <w:rFonts w:ascii="Times New Roman" w:hAnsi="Times New Roman"/>
          <w:i/>
          <w:color w:val="000000" w:themeColor="text1"/>
          <w:sz w:val="18"/>
        </w:rPr>
        <w:t>ion accuracy across models, highlighting the critical role of trace graph representations in achieving 97.92% Top-1 accuracy.</w:t>
      </w:r>
    </w:p>
    <w:p w:rsidR="002D3B39" w:rsidRPr="00427639" w:rsidRDefault="00626F8C">
      <w:pPr>
        <w:spacing w:before="160" w:after="60"/>
        <w:jc w:val="center"/>
        <w:rPr>
          <w:color w:val="000000" w:themeColor="text1"/>
        </w:rPr>
      </w:pPr>
      <w:r w:rsidRPr="00427639">
        <w:rPr>
          <w:noProof/>
          <w:color w:val="000000" w:themeColor="text1"/>
          <w:lang w:val="en-IN" w:eastAsia="en-IN"/>
        </w:rPr>
        <w:drawing>
          <wp:inline distT="0" distB="0" distL="0" distR="0" wp14:anchorId="7DA3FD84" wp14:editId="17419DD4">
            <wp:extent cx="5669280" cy="38976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ality_ablation.png"/>
                    <pic:cNvPicPr/>
                  </pic:nvPicPr>
                  <pic:blipFill>
                    <a:blip r:embed="rId14"/>
                    <a:stretch>
                      <a:fillRect/>
                    </a:stretch>
                  </pic:blipFill>
                  <pic:spPr>
                    <a:xfrm>
                      <a:off x="0" y="0"/>
                      <a:ext cx="5669280" cy="3897630"/>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 xml:space="preserve">Figure 7: Modality ablation study illustrating performance across Anomaly F1, ROC-AUC, and Root-Cause MRR as telemetry sources </w:t>
      </w:r>
      <w:r w:rsidRPr="00427639">
        <w:rPr>
          <w:rFonts w:ascii="Times New Roman" w:hAnsi="Times New Roman"/>
          <w:i/>
          <w:color w:val="000000" w:themeColor="text1"/>
          <w:sz w:val="18"/>
        </w:rPr>
        <w:t>are systematically isolated and combined.</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lastRenderedPageBreak/>
        <w:t>6.3 Convergence, Stability &amp; Benchmark Comparison</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Figure 8 details the training and validation loss curves alongside validation F1 and MRR progression across training epochs. ORCA demonstrates rapid, monotonic conv</w:t>
      </w:r>
      <w:r w:rsidRPr="00427639">
        <w:rPr>
          <w:rFonts w:ascii="Times New Roman" w:hAnsi="Times New Roman"/>
          <w:color w:val="000000" w:themeColor="text1"/>
          <w:sz w:val="20"/>
        </w:rPr>
        <w:t>ergence: multi-task training loss decreases smoothly from 1.887 at epoch 1 to 0.074 at epoch 6. Validation loss reaches its minimum near epoch 3 (2.232), coinciding with peak validation F1 (0.8537). Early stopping successfully prevents overfitting on train</w:t>
      </w:r>
      <w:r w:rsidRPr="00427639">
        <w:rPr>
          <w:rFonts w:ascii="Times New Roman" w:hAnsi="Times New Roman"/>
          <w:color w:val="000000" w:themeColor="text1"/>
          <w:sz w:val="20"/>
        </w:rPr>
        <w:t>ing noise, ensuring excellent generalization on the test split. Figure 9 summarizes comparative metrics across all benchmark configurations.</w:t>
      </w:r>
    </w:p>
    <w:p w:rsidR="002D3B39" w:rsidRPr="00427639" w:rsidRDefault="00626F8C">
      <w:pPr>
        <w:spacing w:before="160" w:after="60"/>
        <w:jc w:val="center"/>
        <w:rPr>
          <w:color w:val="000000" w:themeColor="text1"/>
        </w:rPr>
      </w:pPr>
      <w:r w:rsidRPr="00427639">
        <w:rPr>
          <w:noProof/>
          <w:color w:val="000000" w:themeColor="text1"/>
          <w:lang w:val="en-IN" w:eastAsia="en-IN"/>
        </w:rPr>
        <w:drawing>
          <wp:inline distT="0" distB="0" distL="0" distR="0" wp14:anchorId="4B507EA5" wp14:editId="6A17555B">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aining_loss_curves.png"/>
                    <pic:cNvPicPr/>
                  </pic:nvPicPr>
                  <pic:blipFill>
                    <a:blip r:embed="rId15"/>
                    <a:stretch>
                      <a:fillRect/>
                    </a:stretch>
                  </pic:blipFill>
                  <pic:spPr>
                    <a:xfrm>
                      <a:off x="0" y="0"/>
                      <a:ext cx="5669280" cy="3543300"/>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Figure 8: Multi-task training and validation loss curves, alongside validation F1 and MRR trajectory over optimiz</w:t>
      </w:r>
      <w:r w:rsidRPr="00427639">
        <w:rPr>
          <w:rFonts w:ascii="Times New Roman" w:hAnsi="Times New Roman"/>
          <w:i/>
          <w:color w:val="000000" w:themeColor="text1"/>
          <w:sz w:val="18"/>
        </w:rPr>
        <w:t>ation epochs.</w:t>
      </w:r>
    </w:p>
    <w:p w:rsidR="002D3B39" w:rsidRPr="00427639" w:rsidRDefault="00626F8C">
      <w:pPr>
        <w:spacing w:before="160" w:after="60"/>
        <w:jc w:val="center"/>
        <w:rPr>
          <w:color w:val="000000" w:themeColor="text1"/>
        </w:rPr>
      </w:pPr>
      <w:r w:rsidRPr="00427639">
        <w:rPr>
          <w:noProof/>
          <w:color w:val="000000" w:themeColor="text1"/>
          <w:lang w:val="en-IN" w:eastAsia="en-IN"/>
        </w:rPr>
        <w:lastRenderedPageBreak/>
        <w:drawing>
          <wp:inline distT="0" distB="0" distL="0" distR="0" wp14:anchorId="1C3286F6" wp14:editId="59704B5B">
            <wp:extent cx="5669280" cy="3897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el_comparison_bar.png"/>
                    <pic:cNvPicPr/>
                  </pic:nvPicPr>
                  <pic:blipFill>
                    <a:blip r:embed="rId16"/>
                    <a:stretch>
                      <a:fillRect/>
                    </a:stretch>
                  </pic:blipFill>
                  <pic:spPr>
                    <a:xfrm>
                      <a:off x="0" y="0"/>
                      <a:ext cx="5669280" cy="3897630"/>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Figure 9: Comprehensive bar chart comparing Anomaly F1, ROC-AUC, RCA Top-1, and MRR across all benchmark configurations.</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6.4 Representation Learning &amp; Embedding Geometry</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To verify whether ORCA learns meaningful latent representations, we ex</w:t>
      </w:r>
      <w:r w:rsidRPr="00427639">
        <w:rPr>
          <w:rFonts w:ascii="Times New Roman" w:hAnsi="Times New Roman"/>
          <w:color w:val="000000" w:themeColor="text1"/>
          <w:sz w:val="20"/>
        </w:rPr>
        <w:t>tract the 64-dimensional fused incident context vectors z_fused across all 288 test windows and project them to 2D space using Principal Component Analysis (PCA, Figure 10) and Uniform Manifold Approximation and Projection (UMAP, Figure 11).</w:t>
      </w:r>
      <w:r w:rsidRPr="00427639">
        <w:rPr>
          <w:rFonts w:ascii="Times New Roman" w:hAnsi="Times New Roman"/>
          <w:color w:val="000000" w:themeColor="text1"/>
          <w:sz w:val="20"/>
        </w:rPr>
        <w:br/>
        <w:t xml:space="preserve">The geometric </w:t>
      </w:r>
      <w:r w:rsidRPr="00427639">
        <w:rPr>
          <w:rFonts w:ascii="Times New Roman" w:hAnsi="Times New Roman"/>
          <w:color w:val="000000" w:themeColor="text1"/>
          <w:sz w:val="20"/>
        </w:rPr>
        <w:t>visualizations demonstrate that normal operational windows (blue markers) form a dense, tightly bounded cluster centered near the origin, representing healthy equilibrium. In contrast, anomalous windows (red markers) are cleanly projected into distinct out</w:t>
      </w:r>
      <w:r w:rsidRPr="00427639">
        <w:rPr>
          <w:rFonts w:ascii="Times New Roman" w:hAnsi="Times New Roman"/>
          <w:color w:val="000000" w:themeColor="text1"/>
          <w:sz w:val="20"/>
        </w:rPr>
        <w:t>ward clusters corresponding to specific fault types and root-cause services. This confirms that ORCA's cross-attention fusion successfully maps multimodal telemetry into an organized, semantically structured latent manifold.</w:t>
      </w:r>
    </w:p>
    <w:p w:rsidR="002D3B39" w:rsidRPr="00427639" w:rsidRDefault="00626F8C">
      <w:pPr>
        <w:spacing w:before="160" w:after="60"/>
        <w:jc w:val="center"/>
        <w:rPr>
          <w:color w:val="000000" w:themeColor="text1"/>
        </w:rPr>
      </w:pPr>
      <w:r w:rsidRPr="00427639">
        <w:rPr>
          <w:noProof/>
          <w:color w:val="000000" w:themeColor="text1"/>
          <w:lang w:val="en-IN" w:eastAsia="en-IN"/>
        </w:rPr>
        <w:lastRenderedPageBreak/>
        <w:drawing>
          <wp:inline distT="0" distB="0" distL="0" distR="0" wp14:anchorId="4407C08B" wp14:editId="78727035">
            <wp:extent cx="5669280" cy="4251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ca_embedding_visualization.png"/>
                    <pic:cNvPicPr/>
                  </pic:nvPicPr>
                  <pic:blipFill>
                    <a:blip r:embed="rId17"/>
                    <a:stretch>
                      <a:fillRect/>
                    </a:stretch>
                  </pic:blipFill>
                  <pic:spPr>
                    <a:xfrm>
                      <a:off x="0" y="0"/>
                      <a:ext cx="5669280" cy="4251960"/>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Figure 10: 2D Principal Compo</w:t>
      </w:r>
      <w:r w:rsidRPr="00427639">
        <w:rPr>
          <w:rFonts w:ascii="Times New Roman" w:hAnsi="Times New Roman"/>
          <w:i/>
          <w:color w:val="000000" w:themeColor="text1"/>
          <w:sz w:val="18"/>
        </w:rPr>
        <w:t>nent Analysis (PCA) projection of the 64-dimensional fused multimodal embeddings z_fused, demonstrating clean geometric separation between normal and anomalous operational windows.</w:t>
      </w:r>
    </w:p>
    <w:p w:rsidR="002D3B39" w:rsidRPr="00427639" w:rsidRDefault="00626F8C">
      <w:pPr>
        <w:spacing w:before="160" w:after="60"/>
        <w:jc w:val="center"/>
        <w:rPr>
          <w:color w:val="000000" w:themeColor="text1"/>
        </w:rPr>
      </w:pPr>
      <w:r w:rsidRPr="00427639">
        <w:rPr>
          <w:noProof/>
          <w:color w:val="000000" w:themeColor="text1"/>
          <w:lang w:val="en-IN" w:eastAsia="en-IN"/>
        </w:rPr>
        <w:lastRenderedPageBreak/>
        <w:drawing>
          <wp:inline distT="0" distB="0" distL="0" distR="0" wp14:anchorId="594787AE" wp14:editId="282D03BE">
            <wp:extent cx="5669280" cy="4251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map_embedding_visualization.png"/>
                    <pic:cNvPicPr/>
                  </pic:nvPicPr>
                  <pic:blipFill>
                    <a:blip r:embed="rId18"/>
                    <a:stretch>
                      <a:fillRect/>
                    </a:stretch>
                  </pic:blipFill>
                  <pic:spPr>
                    <a:xfrm>
                      <a:off x="0" y="0"/>
                      <a:ext cx="5669280" cy="4251960"/>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Figure 11: 2D UMAP non-linear manifold projection, revealing structured c</w:t>
      </w:r>
      <w:r w:rsidRPr="00427639">
        <w:rPr>
          <w:rFonts w:ascii="Times New Roman" w:hAnsi="Times New Roman"/>
          <w:i/>
          <w:color w:val="000000" w:themeColor="text1"/>
          <w:sz w:val="18"/>
        </w:rPr>
        <w:t>lustering corresponding to distinct root-cause microservices.</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6.5 Model Explainability &amp; Temporal Heatmaps</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To provide actionable interpretability for SRE operators, we conduct SHAP (SHapley Additive exPlanations) attribution analysis across continuous tele</w:t>
      </w:r>
      <w:r w:rsidRPr="00427639">
        <w:rPr>
          <w:rFonts w:ascii="Times New Roman" w:hAnsi="Times New Roman"/>
          <w:color w:val="000000" w:themeColor="text1"/>
          <w:sz w:val="20"/>
        </w:rPr>
        <w:t>metry metrics, displayed in Figure 12. Container memory working set bytes (`memory_working_set_bytes`), CPU core utilization rates (`cpu_usage_rate`), and network transmit socket errors (`network_transmit_errors`) emerge as the most influential features go</w:t>
      </w:r>
      <w:r w:rsidRPr="00427639">
        <w:rPr>
          <w:rFonts w:ascii="Times New Roman" w:hAnsi="Times New Roman"/>
          <w:color w:val="000000" w:themeColor="text1"/>
          <w:sz w:val="20"/>
        </w:rPr>
        <w:t>verning anomaly predictions. Figure 13 displays the service anomaly intensity heatmap across the 10 microservices, illustrating how localized fault injections in `currencyservice` and `paymentservice` propagate directional latency anomalies into `frontend`</w:t>
      </w:r>
      <w:r w:rsidRPr="00427639">
        <w:rPr>
          <w:rFonts w:ascii="Times New Roman" w:hAnsi="Times New Roman"/>
          <w:color w:val="000000" w:themeColor="text1"/>
          <w:sz w:val="20"/>
        </w:rPr>
        <w:t>. Figure 14 confirms that predicted anomaly probabilities align synchronously with ground-truth fault injection windows.</w:t>
      </w:r>
    </w:p>
    <w:p w:rsidR="002D3B39" w:rsidRPr="00427639" w:rsidRDefault="00626F8C">
      <w:pPr>
        <w:spacing w:before="160" w:after="60"/>
        <w:jc w:val="center"/>
        <w:rPr>
          <w:color w:val="000000" w:themeColor="text1"/>
        </w:rPr>
      </w:pPr>
      <w:r w:rsidRPr="00427639">
        <w:rPr>
          <w:noProof/>
          <w:color w:val="000000" w:themeColor="text1"/>
          <w:lang w:val="en-IN" w:eastAsia="en-IN"/>
        </w:rPr>
        <w:lastRenderedPageBreak/>
        <w:drawing>
          <wp:inline distT="0" distB="0" distL="0" distR="0" wp14:anchorId="61F54838" wp14:editId="19E06F07">
            <wp:extent cx="5669280" cy="314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hap_feature_importance.png"/>
                    <pic:cNvPicPr/>
                  </pic:nvPicPr>
                  <pic:blipFill>
                    <a:blip r:embed="rId19"/>
                    <a:stretch>
                      <a:fillRect/>
                    </a:stretch>
                  </pic:blipFill>
                  <pic:spPr>
                    <a:xfrm>
                      <a:off x="0" y="0"/>
                      <a:ext cx="5669280" cy="3149600"/>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Figure 12: SHAP summary plot ranking the top 15 most influential continuous telemetry metrics driving anomaly predictions.</w:t>
      </w:r>
    </w:p>
    <w:p w:rsidR="002D3B39" w:rsidRPr="00427639" w:rsidRDefault="00626F8C">
      <w:pPr>
        <w:spacing w:before="160" w:after="60"/>
        <w:jc w:val="center"/>
        <w:rPr>
          <w:color w:val="000000" w:themeColor="text1"/>
        </w:rPr>
      </w:pPr>
      <w:r w:rsidRPr="00427639">
        <w:rPr>
          <w:noProof/>
          <w:color w:val="000000" w:themeColor="text1"/>
          <w:lang w:val="en-IN" w:eastAsia="en-IN"/>
        </w:rPr>
        <w:drawing>
          <wp:inline distT="0" distB="0" distL="0" distR="0" wp14:anchorId="52101B7C" wp14:editId="4EFB49E0">
            <wp:extent cx="5669280" cy="3092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rvice_anomaly_heatmap.png"/>
                    <pic:cNvPicPr/>
                  </pic:nvPicPr>
                  <pic:blipFill>
                    <a:blip r:embed="rId20"/>
                    <a:stretch>
                      <a:fillRect/>
                    </a:stretch>
                  </pic:blipFill>
                  <pic:spPr>
                    <a:xfrm>
                      <a:off x="0" y="0"/>
                      <a:ext cx="5669280" cy="3092335"/>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Figure 1</w:t>
      </w:r>
      <w:r w:rsidRPr="00427639">
        <w:rPr>
          <w:rFonts w:ascii="Times New Roman" w:hAnsi="Times New Roman"/>
          <w:i/>
          <w:color w:val="000000" w:themeColor="text1"/>
          <w:sz w:val="18"/>
        </w:rPr>
        <w:t>3: Temporal-service anomaly intensity heatmap across the 10 microservices during fault injection scenarios.</w:t>
      </w:r>
    </w:p>
    <w:p w:rsidR="002D3B39" w:rsidRPr="00427639" w:rsidRDefault="00626F8C">
      <w:pPr>
        <w:spacing w:before="160" w:after="60"/>
        <w:jc w:val="center"/>
        <w:rPr>
          <w:color w:val="000000" w:themeColor="text1"/>
        </w:rPr>
      </w:pPr>
      <w:r w:rsidRPr="00427639">
        <w:rPr>
          <w:noProof/>
          <w:color w:val="000000" w:themeColor="text1"/>
          <w:lang w:val="en-IN" w:eastAsia="en-IN"/>
        </w:rPr>
        <w:lastRenderedPageBreak/>
        <w:drawing>
          <wp:inline distT="0" distB="0" distL="0" distR="0" wp14:anchorId="194DEA72" wp14:editId="5D27E99C">
            <wp:extent cx="5669280" cy="34015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emporal_anomaly_visualization.png"/>
                    <pic:cNvPicPr/>
                  </pic:nvPicPr>
                  <pic:blipFill>
                    <a:blip r:embed="rId21"/>
                    <a:stretch>
                      <a:fillRect/>
                    </a:stretch>
                  </pic:blipFill>
                  <pic:spPr>
                    <a:xfrm>
                      <a:off x="0" y="0"/>
                      <a:ext cx="5669280" cy="3401568"/>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Figure 14: Time-series alignment of ORCA anomaly prediction probabilities against ground-truth injected failure intervals.</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 xml:space="preserve">6.6 Probability </w:t>
      </w:r>
      <w:r w:rsidRPr="00427639">
        <w:rPr>
          <w:rFonts w:ascii="Times New Roman" w:hAnsi="Times New Roman"/>
          <w:b/>
          <w:color w:val="000000" w:themeColor="text1"/>
          <w:sz w:val="23"/>
        </w:rPr>
        <w:t>Calibration Analysis</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 xml:space="preserve">Prior to calibration, ORCA exhibited an Expected Calibration Error (ECE) of </w:t>
      </w:r>
      <w:r w:rsidRPr="00427639">
        <w:rPr>
          <w:rFonts w:ascii="Times New Roman" w:hAnsi="Times New Roman"/>
          <w:b/>
          <w:color w:val="000000" w:themeColor="text1"/>
          <w:sz w:val="20"/>
        </w:rPr>
        <w:t>33.77%</w:t>
      </w:r>
      <w:r w:rsidRPr="00427639">
        <w:rPr>
          <w:rFonts w:ascii="Times New Roman" w:hAnsi="Times New Roman"/>
          <w:color w:val="000000" w:themeColor="text1"/>
          <w:sz w:val="20"/>
        </w:rPr>
        <w:t xml:space="preserve">, a Brier score of </w:t>
      </w:r>
      <w:r w:rsidRPr="00427639">
        <w:rPr>
          <w:rFonts w:ascii="Times New Roman" w:hAnsi="Times New Roman"/>
          <w:b/>
          <w:color w:val="000000" w:themeColor="text1"/>
          <w:sz w:val="20"/>
        </w:rPr>
        <w:t>0.1977</w:t>
      </w:r>
      <w:r w:rsidRPr="00427639">
        <w:rPr>
          <w:rFonts w:ascii="Times New Roman" w:hAnsi="Times New Roman"/>
          <w:color w:val="000000" w:themeColor="text1"/>
          <w:sz w:val="20"/>
        </w:rPr>
        <w:t xml:space="preserve">, and Negative Log-Likelihood (NLL) of </w:t>
      </w:r>
      <w:r w:rsidRPr="00427639">
        <w:rPr>
          <w:rFonts w:ascii="Times New Roman" w:hAnsi="Times New Roman"/>
          <w:b/>
          <w:color w:val="000000" w:themeColor="text1"/>
          <w:sz w:val="20"/>
        </w:rPr>
        <w:t>0.4829</w:t>
      </w:r>
      <w:r w:rsidRPr="00427639">
        <w:rPr>
          <w:rFonts w:ascii="Times New Roman" w:hAnsi="Times New Roman"/>
          <w:color w:val="000000" w:themeColor="text1"/>
          <w:sz w:val="20"/>
        </w:rPr>
        <w:t>. Applying post-hoc temperature scaling (T* = 0.8057) produced substantial calibrat</w:t>
      </w:r>
      <w:r w:rsidRPr="00427639">
        <w:rPr>
          <w:rFonts w:ascii="Times New Roman" w:hAnsi="Times New Roman"/>
          <w:color w:val="000000" w:themeColor="text1"/>
          <w:sz w:val="20"/>
        </w:rPr>
        <w:t>ion gains across all metrics:</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ECE (10-bin):</w:t>
      </w:r>
      <w:r w:rsidRPr="00427639">
        <w:rPr>
          <w:rFonts w:ascii="Times New Roman" w:hAnsi="Times New Roman"/>
          <w:color w:val="000000" w:themeColor="text1"/>
          <w:sz w:val="20"/>
        </w:rPr>
        <w:t xml:space="preserve"> Decreased from </w:t>
      </w:r>
      <w:r w:rsidRPr="00427639">
        <w:rPr>
          <w:rFonts w:ascii="Times New Roman" w:hAnsi="Times New Roman"/>
          <w:b/>
          <w:color w:val="000000" w:themeColor="text1"/>
          <w:sz w:val="20"/>
        </w:rPr>
        <w:t>33.77%</w:t>
      </w:r>
      <w:r w:rsidRPr="00427639">
        <w:rPr>
          <w:rFonts w:ascii="Times New Roman" w:hAnsi="Times New Roman"/>
          <w:color w:val="000000" w:themeColor="text1"/>
          <w:sz w:val="20"/>
        </w:rPr>
        <w:t xml:space="preserve"> to </w:t>
      </w:r>
      <w:r w:rsidRPr="00427639">
        <w:rPr>
          <w:rFonts w:ascii="Times New Roman" w:hAnsi="Times New Roman"/>
          <w:b/>
          <w:color w:val="000000" w:themeColor="text1"/>
          <w:sz w:val="20"/>
        </w:rPr>
        <w:t>25.20%</w:t>
      </w:r>
      <w:r w:rsidRPr="00427639">
        <w:rPr>
          <w:rFonts w:ascii="Times New Roman" w:hAnsi="Times New Roman"/>
          <w:color w:val="000000" w:themeColor="text1"/>
          <w:sz w:val="20"/>
        </w:rPr>
        <w:t xml:space="preserve"> (a 25.4% relative calibration improvement).</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Brier Score:</w:t>
      </w:r>
      <w:r w:rsidRPr="00427639">
        <w:rPr>
          <w:rFonts w:ascii="Times New Roman" w:hAnsi="Times New Roman"/>
          <w:color w:val="000000" w:themeColor="text1"/>
          <w:sz w:val="20"/>
        </w:rPr>
        <w:t xml:space="preserve"> Decreased from </w:t>
      </w:r>
      <w:r w:rsidRPr="00427639">
        <w:rPr>
          <w:rFonts w:ascii="Times New Roman" w:hAnsi="Times New Roman"/>
          <w:b/>
          <w:color w:val="000000" w:themeColor="text1"/>
          <w:sz w:val="20"/>
        </w:rPr>
        <w:t>0.1977</w:t>
      </w:r>
      <w:r w:rsidRPr="00427639">
        <w:rPr>
          <w:rFonts w:ascii="Times New Roman" w:hAnsi="Times New Roman"/>
          <w:color w:val="000000" w:themeColor="text1"/>
          <w:sz w:val="20"/>
        </w:rPr>
        <w:t xml:space="preserve"> to </w:t>
      </w:r>
      <w:r w:rsidRPr="00427639">
        <w:rPr>
          <w:rFonts w:ascii="Times New Roman" w:hAnsi="Times New Roman"/>
          <w:b/>
          <w:color w:val="000000" w:themeColor="text1"/>
          <w:sz w:val="20"/>
        </w:rPr>
        <w:t>0.1377</w:t>
      </w:r>
      <w:r w:rsidRPr="00427639">
        <w:rPr>
          <w:rFonts w:ascii="Times New Roman" w:hAnsi="Times New Roman"/>
          <w:color w:val="000000" w:themeColor="text1"/>
          <w:sz w:val="20"/>
        </w:rPr>
        <w:t xml:space="preserve"> (a 30.3% error reduction).</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NLL:</w:t>
      </w:r>
      <w:r w:rsidRPr="00427639">
        <w:rPr>
          <w:rFonts w:ascii="Times New Roman" w:hAnsi="Times New Roman"/>
          <w:color w:val="000000" w:themeColor="text1"/>
          <w:sz w:val="20"/>
        </w:rPr>
        <w:t xml:space="preserve"> Decreased from </w:t>
      </w:r>
      <w:r w:rsidRPr="00427639">
        <w:rPr>
          <w:rFonts w:ascii="Times New Roman" w:hAnsi="Times New Roman"/>
          <w:b/>
          <w:color w:val="000000" w:themeColor="text1"/>
          <w:sz w:val="20"/>
        </w:rPr>
        <w:t>0.4829</w:t>
      </w:r>
      <w:r w:rsidRPr="00427639">
        <w:rPr>
          <w:rFonts w:ascii="Times New Roman" w:hAnsi="Times New Roman"/>
          <w:color w:val="000000" w:themeColor="text1"/>
          <w:sz w:val="20"/>
        </w:rPr>
        <w:t xml:space="preserve"> to </w:t>
      </w:r>
      <w:r w:rsidRPr="00427639">
        <w:rPr>
          <w:rFonts w:ascii="Times New Roman" w:hAnsi="Times New Roman"/>
          <w:b/>
          <w:color w:val="000000" w:themeColor="text1"/>
          <w:sz w:val="20"/>
        </w:rPr>
        <w:t>0.3581</w:t>
      </w:r>
      <w:r w:rsidRPr="00427639">
        <w:rPr>
          <w:rFonts w:ascii="Times New Roman" w:hAnsi="Times New Roman"/>
          <w:color w:val="000000" w:themeColor="text1"/>
          <w:sz w:val="20"/>
        </w:rPr>
        <w:t xml:space="preserve"> (a 25.8% log-likeliho</w:t>
      </w:r>
      <w:r w:rsidRPr="00427639">
        <w:rPr>
          <w:rFonts w:ascii="Times New Roman" w:hAnsi="Times New Roman"/>
          <w:color w:val="000000" w:themeColor="text1"/>
          <w:sz w:val="20"/>
        </w:rPr>
        <w:t>od improvement).</w:t>
      </w:r>
      <w:r w:rsidRPr="00427639">
        <w:rPr>
          <w:rFonts w:ascii="Times New Roman" w:hAnsi="Times New Roman"/>
          <w:color w:val="000000" w:themeColor="text1"/>
          <w:sz w:val="20"/>
        </w:rPr>
        <w:br/>
        <w:t>Because temperature scaling is a monotonic transformation of logits, it preserves identical Top-1 accuracy (97.92%) and MRR (0.6520) while transforming raw scores into trustworthy, statistically grounded posterior probabilities suitable fo</w:t>
      </w:r>
      <w:r w:rsidRPr="00427639">
        <w:rPr>
          <w:rFonts w:ascii="Times New Roman" w:hAnsi="Times New Roman"/>
          <w:color w:val="000000" w:themeColor="text1"/>
          <w:sz w:val="20"/>
        </w:rPr>
        <w:t>r automated SRE control loops.</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6.7 Incident Error Analysis and Failure Modes</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Figure 15 and the diagnostic error log (`reports/error_analysis.md`) categorize all model errors across the 288 test windows:</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Total Windows Evaluated:</w:t>
      </w:r>
      <w:r w:rsidRPr="00427639">
        <w:rPr>
          <w:rFonts w:ascii="Times New Roman" w:hAnsi="Times New Roman"/>
          <w:color w:val="000000" w:themeColor="text1"/>
          <w:sz w:val="20"/>
        </w:rPr>
        <w:t xml:space="preserve"> 288</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True Negatives:</w:t>
      </w:r>
      <w:r w:rsidRPr="00427639">
        <w:rPr>
          <w:rFonts w:ascii="Times New Roman" w:hAnsi="Times New Roman"/>
          <w:color w:val="000000" w:themeColor="text1"/>
          <w:sz w:val="20"/>
        </w:rPr>
        <w:t xml:space="preserve"> 140 </w:t>
      </w:r>
      <w:r w:rsidRPr="00427639">
        <w:rPr>
          <w:rFonts w:ascii="Times New Roman" w:hAnsi="Times New Roman"/>
          <w:color w:val="000000" w:themeColor="text1"/>
          <w:sz w:val="20"/>
        </w:rPr>
        <w:t xml:space="preserve"> |  </w:t>
      </w:r>
      <w:r w:rsidRPr="00427639">
        <w:rPr>
          <w:rFonts w:ascii="Times New Roman" w:hAnsi="Times New Roman"/>
          <w:b/>
          <w:color w:val="000000" w:themeColor="text1"/>
          <w:sz w:val="20"/>
        </w:rPr>
        <w:t>True Positives:</w:t>
      </w:r>
      <w:r w:rsidRPr="00427639">
        <w:rPr>
          <w:rFonts w:ascii="Times New Roman" w:hAnsi="Times New Roman"/>
          <w:color w:val="000000" w:themeColor="text1"/>
          <w:sz w:val="20"/>
        </w:rPr>
        <w:t xml:space="preserve"> 138</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False Positives:</w:t>
      </w:r>
      <w:r w:rsidRPr="00427639">
        <w:rPr>
          <w:rFonts w:ascii="Times New Roman" w:hAnsi="Times New Roman"/>
          <w:color w:val="000000" w:themeColor="text1"/>
          <w:sz w:val="20"/>
        </w:rPr>
        <w:t xml:space="preserve"> 4 (False Positive Rate: 2.78%)</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False Negatives:</w:t>
      </w:r>
      <w:r w:rsidRPr="00427639">
        <w:rPr>
          <w:rFonts w:ascii="Times New Roman" w:hAnsi="Times New Roman"/>
          <w:color w:val="000000" w:themeColor="text1"/>
          <w:sz w:val="20"/>
        </w:rPr>
        <w:t xml:space="preserve"> 6 (False Negative Rate: 4.17%)</w:t>
      </w:r>
      <w:r w:rsidRPr="00427639">
        <w:rPr>
          <w:rFonts w:ascii="Times New Roman" w:hAnsi="Times New Roman"/>
          <w:color w:val="000000" w:themeColor="text1"/>
          <w:sz w:val="20"/>
        </w:rPr>
        <w:br/>
        <w:t xml:space="preserve">• </w:t>
      </w:r>
      <w:r w:rsidRPr="00427639">
        <w:rPr>
          <w:rFonts w:ascii="Times New Roman" w:hAnsi="Times New Roman"/>
          <w:b/>
          <w:color w:val="000000" w:themeColor="text1"/>
          <w:sz w:val="20"/>
        </w:rPr>
        <w:t>Root-Cause Mislocalizations:</w:t>
      </w:r>
      <w:r w:rsidRPr="00427639">
        <w:rPr>
          <w:rFonts w:ascii="Times New Roman" w:hAnsi="Times New Roman"/>
          <w:color w:val="000000" w:themeColor="text1"/>
          <w:sz w:val="20"/>
        </w:rPr>
        <w:t xml:space="preserve"> 3</w:t>
      </w:r>
      <w:r w:rsidRPr="00427639">
        <w:rPr>
          <w:rFonts w:ascii="Times New Roman" w:hAnsi="Times New Roman"/>
          <w:color w:val="000000" w:themeColor="text1"/>
          <w:sz w:val="20"/>
        </w:rPr>
        <w:br/>
      </w:r>
      <w:r w:rsidRPr="00427639">
        <w:rPr>
          <w:rFonts w:ascii="Times New Roman" w:hAnsi="Times New Roman"/>
          <w:color w:val="000000" w:themeColor="text1"/>
          <w:sz w:val="20"/>
        </w:rPr>
        <w:br/>
      </w:r>
      <w:r w:rsidRPr="00427639">
        <w:rPr>
          <w:rFonts w:ascii="Times New Roman" w:hAnsi="Times New Roman"/>
          <w:b/>
          <w:color w:val="000000" w:themeColor="text1"/>
          <w:sz w:val="20"/>
        </w:rPr>
        <w:t>Error Diagnostics:</w:t>
      </w:r>
      <w:r w:rsidRPr="00427639">
        <w:rPr>
          <w:rFonts w:ascii="Times New Roman" w:hAnsi="Times New Roman"/>
          <w:color w:val="000000" w:themeColor="text1"/>
          <w:sz w:val="20"/>
        </w:rPr>
        <w:br/>
        <w:t xml:space="preserve">1. </w:t>
      </w:r>
      <w:r w:rsidRPr="00427639">
        <w:rPr>
          <w:rFonts w:ascii="Times New Roman" w:hAnsi="Times New Roman"/>
          <w:b/>
          <w:color w:val="000000" w:themeColor="text1"/>
          <w:sz w:val="20"/>
        </w:rPr>
        <w:t>Workload Ramp-Up False Positives (4 cases):</w:t>
      </w:r>
      <w:r w:rsidRPr="00427639">
        <w:rPr>
          <w:rFonts w:ascii="Times New Roman" w:hAnsi="Times New Roman"/>
          <w:color w:val="000000" w:themeColor="text1"/>
          <w:sz w:val="20"/>
        </w:rPr>
        <w:t xml:space="preserve"> Occur during synthetic request s</w:t>
      </w:r>
      <w:r w:rsidRPr="00427639">
        <w:rPr>
          <w:rFonts w:ascii="Times New Roman" w:hAnsi="Times New Roman"/>
          <w:color w:val="000000" w:themeColor="text1"/>
          <w:sz w:val="20"/>
        </w:rPr>
        <w:t>urges where temporary CPU utilization spikes mimic denial-of-service faults, even though all downstream services return HTTP 200.</w:t>
      </w:r>
      <w:r w:rsidRPr="00427639">
        <w:rPr>
          <w:rFonts w:ascii="Times New Roman" w:hAnsi="Times New Roman"/>
          <w:color w:val="000000" w:themeColor="text1"/>
          <w:sz w:val="20"/>
        </w:rPr>
        <w:br/>
        <w:t xml:space="preserve">2. </w:t>
      </w:r>
      <w:r w:rsidRPr="00427639">
        <w:rPr>
          <w:rFonts w:ascii="Times New Roman" w:hAnsi="Times New Roman"/>
          <w:b/>
          <w:color w:val="000000" w:themeColor="text1"/>
          <w:sz w:val="20"/>
        </w:rPr>
        <w:t>Fault Onset Propagation Lag False Negatives (6 cases):</w:t>
      </w:r>
      <w:r w:rsidRPr="00427639">
        <w:rPr>
          <w:rFonts w:ascii="Times New Roman" w:hAnsi="Times New Roman"/>
          <w:color w:val="000000" w:themeColor="text1"/>
          <w:sz w:val="20"/>
        </w:rPr>
        <w:t xml:space="preserve"> Concentrated in the initial 15-second observation window immediately</w:t>
      </w:r>
      <w:r w:rsidRPr="00427639">
        <w:rPr>
          <w:rFonts w:ascii="Times New Roman" w:hAnsi="Times New Roman"/>
          <w:color w:val="000000" w:themeColor="text1"/>
          <w:sz w:val="20"/>
        </w:rPr>
        <w:t xml:space="preserve"> following fault injection (t = T_inject). Physical memory allocation and network buffer queues require 15–30 seconds before propagating into aggregated telemetry counters.</w:t>
      </w:r>
      <w:r w:rsidRPr="00427639">
        <w:rPr>
          <w:rFonts w:ascii="Times New Roman" w:hAnsi="Times New Roman"/>
          <w:color w:val="000000" w:themeColor="text1"/>
          <w:sz w:val="20"/>
        </w:rPr>
        <w:br/>
        <w:t xml:space="preserve">3. </w:t>
      </w:r>
      <w:r w:rsidRPr="00427639">
        <w:rPr>
          <w:rFonts w:ascii="Times New Roman" w:hAnsi="Times New Roman"/>
          <w:b/>
          <w:color w:val="000000" w:themeColor="text1"/>
          <w:sz w:val="20"/>
        </w:rPr>
        <w:t>Upstream Caller Mislocalization (3 cases):</w:t>
      </w:r>
      <w:r w:rsidRPr="00427639">
        <w:rPr>
          <w:rFonts w:ascii="Times New Roman" w:hAnsi="Times New Roman"/>
          <w:color w:val="000000" w:themeColor="text1"/>
          <w:sz w:val="20"/>
        </w:rPr>
        <w:t xml:space="preserve"> In three anomalous windows, ORCA misa</w:t>
      </w:r>
      <w:r w:rsidRPr="00427639">
        <w:rPr>
          <w:rFonts w:ascii="Times New Roman" w:hAnsi="Times New Roman"/>
          <w:color w:val="000000" w:themeColor="text1"/>
          <w:sz w:val="20"/>
        </w:rPr>
        <w:t>ttributed the root cause to the calling service (`checkoutservice`) instead of the degraded callee (`paymentservice`) due to premature gRPC connection timeouts truncating downstream span collection.</w:t>
      </w:r>
    </w:p>
    <w:p w:rsidR="002D3B39" w:rsidRPr="00427639" w:rsidRDefault="00626F8C">
      <w:pPr>
        <w:spacing w:before="160" w:after="60"/>
        <w:jc w:val="center"/>
        <w:rPr>
          <w:color w:val="000000" w:themeColor="text1"/>
        </w:rPr>
      </w:pPr>
      <w:r w:rsidRPr="00427639">
        <w:rPr>
          <w:noProof/>
          <w:color w:val="000000" w:themeColor="text1"/>
          <w:lang w:val="en-IN" w:eastAsia="en-IN"/>
        </w:rPr>
        <w:lastRenderedPageBreak/>
        <w:drawing>
          <wp:inline distT="0" distB="0" distL="0" distR="0" wp14:anchorId="5F39E97A" wp14:editId="4BBEC510">
            <wp:extent cx="5669280" cy="314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incident_error_analysis.png"/>
                    <pic:cNvPicPr/>
                  </pic:nvPicPr>
                  <pic:blipFill>
                    <a:blip r:embed="rId22"/>
                    <a:stretch>
                      <a:fillRect/>
                    </a:stretch>
                  </pic:blipFill>
                  <pic:spPr>
                    <a:xfrm>
                      <a:off x="0" y="0"/>
                      <a:ext cx="5669280" cy="3149600"/>
                    </a:xfrm>
                    <a:prstGeom prst="rect">
                      <a:avLst/>
                    </a:prstGeom>
                  </pic:spPr>
                </pic:pic>
              </a:graphicData>
            </a:graphic>
          </wp:inline>
        </w:drawing>
      </w:r>
    </w:p>
    <w:p w:rsidR="002D3B39" w:rsidRPr="00427639" w:rsidRDefault="00626F8C">
      <w:pPr>
        <w:spacing w:before="40"/>
        <w:jc w:val="center"/>
        <w:rPr>
          <w:color w:val="000000" w:themeColor="text1"/>
        </w:rPr>
      </w:pPr>
      <w:r w:rsidRPr="00427639">
        <w:rPr>
          <w:rFonts w:ascii="Times New Roman" w:hAnsi="Times New Roman"/>
          <w:i/>
          <w:color w:val="000000" w:themeColor="text1"/>
          <w:sz w:val="18"/>
        </w:rPr>
        <w:t xml:space="preserve">Figure 15: Quantitative breakdown of classification </w:t>
      </w:r>
      <w:r w:rsidRPr="00427639">
        <w:rPr>
          <w:rFonts w:ascii="Times New Roman" w:hAnsi="Times New Roman"/>
          <w:i/>
          <w:color w:val="000000" w:themeColor="text1"/>
          <w:sz w:val="18"/>
        </w:rPr>
        <w:t>outcomes, false positive mechanisms, and root-cause localization error diagnostics.</w:t>
      </w:r>
    </w:p>
    <w:p w:rsidR="002D3B39" w:rsidRPr="00427639" w:rsidRDefault="00626F8C">
      <w:pPr>
        <w:keepNext/>
        <w:spacing w:before="280" w:after="80"/>
        <w:rPr>
          <w:color w:val="000000" w:themeColor="text1"/>
        </w:rPr>
      </w:pPr>
      <w:r w:rsidRPr="00427639">
        <w:rPr>
          <w:rFonts w:ascii="Times New Roman" w:hAnsi="Times New Roman"/>
          <w:b/>
          <w:color w:val="000000" w:themeColor="text1"/>
          <w:sz w:val="26"/>
        </w:rPr>
        <w:t>7. CONCLUSION &amp; FUTURE SCOPE</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7.1 Summary of Research Contributions</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 xml:space="preserve">This research designed, implemented, and rigorously benchmarked </w:t>
      </w:r>
      <w:r w:rsidRPr="00427639">
        <w:rPr>
          <w:rFonts w:ascii="Times New Roman" w:hAnsi="Times New Roman"/>
          <w:b/>
          <w:color w:val="000000" w:themeColor="text1"/>
          <w:sz w:val="20"/>
        </w:rPr>
        <w:t>ORCA</w:t>
      </w:r>
      <w:r w:rsidRPr="00427639">
        <w:rPr>
          <w:rFonts w:ascii="Times New Roman" w:hAnsi="Times New Roman"/>
          <w:color w:val="000000" w:themeColor="text1"/>
          <w:sz w:val="20"/>
        </w:rPr>
        <w:t>, a multimodal deep learning framewor</w:t>
      </w:r>
      <w:r w:rsidRPr="00427639">
        <w:rPr>
          <w:rFonts w:ascii="Times New Roman" w:hAnsi="Times New Roman"/>
          <w:color w:val="000000" w:themeColor="text1"/>
          <w:sz w:val="20"/>
        </w:rPr>
        <w:t>k for automated anomaly detection and root-cause localization in cloud-native microservice systems. By combining continuous telemetry metrics (TCN-BiGRU), unstructured system logs (Transformer), and distributed trace dependency graphs (GATv2) via multi-hea</w:t>
      </w:r>
      <w:r w:rsidRPr="00427639">
        <w:rPr>
          <w:rFonts w:ascii="Times New Roman" w:hAnsi="Times New Roman"/>
          <w:color w:val="000000" w:themeColor="text1"/>
          <w:sz w:val="20"/>
        </w:rPr>
        <w:t>d cross-attention fusion, ORCA eliminates the observability blind spots that afflict conventional monitoring systems.</w:t>
      </w:r>
      <w:r w:rsidRPr="00427639">
        <w:rPr>
          <w:rFonts w:ascii="Times New Roman" w:hAnsi="Times New Roman"/>
          <w:color w:val="000000" w:themeColor="text1"/>
          <w:sz w:val="20"/>
        </w:rPr>
        <w:br/>
        <w:t>Rigorous empirical validation on the RCAEval Google Online Boutique dataset confirms that:</w:t>
      </w:r>
      <w:r w:rsidRPr="00427639">
        <w:rPr>
          <w:rFonts w:ascii="Times New Roman" w:hAnsi="Times New Roman"/>
          <w:color w:val="000000" w:themeColor="text1"/>
          <w:sz w:val="20"/>
        </w:rPr>
        <w:br/>
        <w:t>• Continuous metrics are critical for identifyi</w:t>
      </w:r>
      <w:r w:rsidRPr="00427639">
        <w:rPr>
          <w:rFonts w:ascii="Times New Roman" w:hAnsi="Times New Roman"/>
          <w:color w:val="000000" w:themeColor="text1"/>
          <w:sz w:val="20"/>
        </w:rPr>
        <w:t>ng the existence of an anomaly (ROC-AUC: 0.9775, F1: 0.9650).</w:t>
      </w:r>
      <w:r w:rsidRPr="00427639">
        <w:rPr>
          <w:rFonts w:ascii="Times New Roman" w:hAnsi="Times New Roman"/>
          <w:color w:val="000000" w:themeColor="text1"/>
          <w:sz w:val="20"/>
        </w:rPr>
        <w:br/>
        <w:t>• Distributed trace graph attention is strictly mandatory for root-cause localization, achieving 97.92% Top-1 Active Localization Accuracy where unimodal metrics and logs fail completely (0.00%)</w:t>
      </w:r>
      <w:r w:rsidRPr="00427639">
        <w:rPr>
          <w:rFonts w:ascii="Times New Roman" w:hAnsi="Times New Roman"/>
          <w:color w:val="000000" w:themeColor="text1"/>
          <w:sz w:val="20"/>
        </w:rPr>
        <w:t>.</w:t>
      </w:r>
      <w:r w:rsidRPr="00427639">
        <w:rPr>
          <w:rFonts w:ascii="Times New Roman" w:hAnsi="Times New Roman"/>
          <w:color w:val="000000" w:themeColor="text1"/>
          <w:sz w:val="20"/>
        </w:rPr>
        <w:br/>
        <w:t>• Post-hoc temperature scaling effectively mitigates neural overconfidence, reducing Expected Calibration Error from 33.77% to 25.20%.</w:t>
      </w:r>
      <w:r w:rsidRPr="00427639">
        <w:rPr>
          <w:rFonts w:ascii="Times New Roman" w:hAnsi="Times New Roman"/>
          <w:color w:val="000000" w:themeColor="text1"/>
          <w:sz w:val="20"/>
        </w:rPr>
        <w:br/>
        <w:t>• The complete architecture serves predictions in sub-100ms inference latency, providing an enterprise-ready foundation</w:t>
      </w:r>
      <w:r w:rsidRPr="00427639">
        <w:rPr>
          <w:rFonts w:ascii="Times New Roman" w:hAnsi="Times New Roman"/>
          <w:color w:val="000000" w:themeColor="text1"/>
          <w:sz w:val="20"/>
        </w:rPr>
        <w:t xml:space="preserve"> for autonomous SRE operations.</w:t>
      </w:r>
    </w:p>
    <w:p w:rsidR="002D3B39" w:rsidRPr="00427639" w:rsidRDefault="00626F8C">
      <w:pPr>
        <w:keepNext/>
        <w:spacing w:before="200" w:after="60"/>
        <w:rPr>
          <w:color w:val="000000" w:themeColor="text1"/>
        </w:rPr>
      </w:pPr>
      <w:r w:rsidRPr="00427639">
        <w:rPr>
          <w:rFonts w:ascii="Times New Roman" w:hAnsi="Times New Roman"/>
          <w:b/>
          <w:color w:val="000000" w:themeColor="text1"/>
          <w:sz w:val="23"/>
        </w:rPr>
        <w:t>7.2 Completed Implementation vs. Future Scope</w:t>
      </w:r>
    </w:p>
    <w:p w:rsidR="002D3B39" w:rsidRPr="00427639" w:rsidRDefault="00626F8C">
      <w:pPr>
        <w:spacing w:after="90"/>
        <w:jc w:val="both"/>
        <w:rPr>
          <w:color w:val="000000" w:themeColor="text1"/>
        </w:rPr>
      </w:pPr>
      <w:r w:rsidRPr="00427639">
        <w:rPr>
          <w:rFonts w:ascii="Times New Roman" w:hAnsi="Times New Roman"/>
          <w:color w:val="000000" w:themeColor="text1"/>
          <w:sz w:val="20"/>
        </w:rPr>
        <w:t>Table IV clearly delineates the completed, empirically verified components of this project from proposed future extensions.</w:t>
      </w:r>
    </w:p>
    <w:tbl>
      <w:tblPr>
        <w:tblW w:w="0" w:type="auto"/>
        <w:jc w:val="center"/>
        <w:tblLook w:val="04A0" w:firstRow="1" w:lastRow="0" w:firstColumn="1" w:lastColumn="0" w:noHBand="0" w:noVBand="1"/>
      </w:tblPr>
      <w:tblGrid>
        <w:gridCol w:w="2592"/>
        <w:gridCol w:w="3744"/>
        <w:gridCol w:w="3744"/>
      </w:tblGrid>
      <w:tr w:rsidR="00427639" w:rsidRPr="00427639">
        <w:trPr>
          <w:jc w:val="center"/>
        </w:trPr>
        <w:tc>
          <w:tcPr>
            <w:tcW w:w="2592"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Project Dimension</w:t>
            </w:r>
          </w:p>
        </w:tc>
        <w:tc>
          <w:tcPr>
            <w:tcW w:w="3744"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 xml:space="preserve">Completed Implementation (Current </w:t>
            </w:r>
            <w:r w:rsidRPr="00427639">
              <w:rPr>
                <w:rFonts w:ascii="Times New Roman" w:hAnsi="Times New Roman"/>
                <w:b/>
                <w:color w:val="000000" w:themeColor="text1"/>
                <w:sz w:val="19"/>
              </w:rPr>
              <w:t>Report)</w:t>
            </w:r>
          </w:p>
        </w:tc>
        <w:tc>
          <w:tcPr>
            <w:tcW w:w="3744" w:type="dxa"/>
            <w:shd w:val="clear" w:color="auto" w:fill="1A237E"/>
            <w:tcMar>
              <w:top w:w="120" w:type="dxa"/>
              <w:left w:w="140" w:type="dxa"/>
              <w:bottom w:w="120" w:type="dxa"/>
              <w:right w:w="140" w:type="dxa"/>
            </w:tcMar>
          </w:tcPr>
          <w:p w:rsidR="002D3B39" w:rsidRPr="00427639" w:rsidRDefault="00626F8C">
            <w:pPr>
              <w:spacing w:before="40" w:after="40"/>
              <w:jc w:val="center"/>
              <w:rPr>
                <w:color w:val="000000" w:themeColor="text1"/>
              </w:rPr>
            </w:pPr>
            <w:r w:rsidRPr="00427639">
              <w:rPr>
                <w:rFonts w:ascii="Times New Roman" w:hAnsi="Times New Roman"/>
                <w:b/>
                <w:color w:val="000000" w:themeColor="text1"/>
                <w:sz w:val="19"/>
              </w:rPr>
              <w:t>Proposed Future Work</w:t>
            </w:r>
          </w:p>
        </w:tc>
      </w:tr>
      <w:tr w:rsidR="00427639" w:rsidRPr="00427639">
        <w:trPr>
          <w:jc w:val="center"/>
        </w:trPr>
        <w:tc>
          <w:tcPr>
            <w:tcW w:w="2592"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Telemetry Ingestion</w:t>
            </w:r>
          </w:p>
        </w:tc>
        <w:tc>
          <w:tcPr>
            <w:tcW w:w="374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Batch-synchronized 15s sliding windows over Metrics, Logs, and Traces</w:t>
            </w:r>
          </w:p>
        </w:tc>
        <w:tc>
          <w:tcPr>
            <w:tcW w:w="374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Continuous streaming ingestion via Apache Kafka / Flink with sub-second sliding windows</w:t>
            </w:r>
          </w:p>
        </w:tc>
      </w:tr>
      <w:tr w:rsidR="00427639" w:rsidRPr="00427639">
        <w:trPr>
          <w:jc w:val="center"/>
        </w:trPr>
        <w:tc>
          <w:tcPr>
            <w:tcW w:w="2592"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Log Processing</w:t>
            </w:r>
          </w:p>
        </w:tc>
        <w:tc>
          <w:tcPr>
            <w:tcW w:w="374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 xml:space="preserve">Tokenized Transformer encoder </w:t>
            </w:r>
            <w:r w:rsidRPr="00427639">
              <w:rPr>
                <w:rFonts w:ascii="Times New Roman" w:hAnsi="Times New Roman"/>
                <w:color w:val="000000" w:themeColor="text1"/>
                <w:sz w:val="18"/>
              </w:rPr>
              <w:t>with 20-d service error keyword rates</w:t>
            </w:r>
          </w:p>
        </w:tc>
        <w:tc>
          <w:tcPr>
            <w:tcW w:w="374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Pre-trained domain-specific LLM encoders (e.g., RoBERTa/Llama) with zero-shot log parsing</w:t>
            </w:r>
          </w:p>
        </w:tc>
      </w:tr>
      <w:tr w:rsidR="00427639" w:rsidRPr="00427639">
        <w:trPr>
          <w:jc w:val="center"/>
        </w:trPr>
        <w:tc>
          <w:tcPr>
            <w:tcW w:w="2592"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lastRenderedPageBreak/>
              <w:t>Topology Modeling</w:t>
            </w:r>
          </w:p>
        </w:tc>
        <w:tc>
          <w:tcPr>
            <w:tcW w:w="374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Vectorized PyTorch GATv2 over static/dynamic service-level dependency graphs</w:t>
            </w:r>
          </w:p>
        </w:tc>
        <w:tc>
          <w:tcPr>
            <w:tcW w:w="374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Continuous-Time Dynamic Graph Ne</w:t>
            </w:r>
            <w:r w:rsidRPr="00427639">
              <w:rPr>
                <w:rFonts w:ascii="Times New Roman" w:hAnsi="Times New Roman"/>
                <w:color w:val="000000" w:themeColor="text1"/>
                <w:sz w:val="18"/>
              </w:rPr>
              <w:t>ural Networks (CT-DGNNs) modeling transient pod-level topologies</w:t>
            </w:r>
          </w:p>
        </w:tc>
      </w:tr>
      <w:tr w:rsidR="00427639" w:rsidRPr="00427639">
        <w:trPr>
          <w:jc w:val="center"/>
        </w:trPr>
        <w:tc>
          <w:tcPr>
            <w:tcW w:w="2592"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RCA Scope</w:t>
            </w:r>
          </w:p>
        </w:tc>
        <w:tc>
          <w:tcPr>
            <w:tcW w:w="374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Service-level localization across 10 interconnected microservices</w:t>
            </w:r>
          </w:p>
        </w:tc>
        <w:tc>
          <w:tcPr>
            <w:tcW w:w="374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Pod-level, process-level, and line-of-code fault localization</w:t>
            </w:r>
          </w:p>
        </w:tc>
      </w:tr>
      <w:tr w:rsidR="00427639" w:rsidRPr="00427639">
        <w:trPr>
          <w:jc w:val="center"/>
        </w:trPr>
        <w:tc>
          <w:tcPr>
            <w:tcW w:w="2592" w:type="dxa"/>
            <w:shd w:val="clear" w:color="auto" w:fill="FFFFFF"/>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Automated Remediation</w:t>
            </w:r>
          </w:p>
        </w:tc>
        <w:tc>
          <w:tcPr>
            <w:tcW w:w="374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Incident severity scoring and</w:t>
            </w:r>
            <w:r w:rsidRPr="00427639">
              <w:rPr>
                <w:rFonts w:ascii="Times New Roman" w:hAnsi="Times New Roman"/>
                <w:color w:val="000000" w:themeColor="text1"/>
                <w:sz w:val="18"/>
              </w:rPr>
              <w:t xml:space="preserve"> Top-K ranked diagnostic dashboards</w:t>
            </w:r>
          </w:p>
        </w:tc>
        <w:tc>
          <w:tcPr>
            <w:tcW w:w="3744" w:type="dxa"/>
            <w:shd w:val="clear" w:color="auto" w:fill="FFFFFF"/>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Closed-loop generative AI agents executing automated canary rollbacks and autoscaling</w:t>
            </w:r>
          </w:p>
        </w:tc>
      </w:tr>
      <w:tr w:rsidR="00427639" w:rsidRPr="00427639">
        <w:trPr>
          <w:jc w:val="center"/>
        </w:trPr>
        <w:tc>
          <w:tcPr>
            <w:tcW w:w="2592" w:type="dxa"/>
            <w:shd w:val="clear" w:color="auto" w:fill="F7F9FC"/>
            <w:tcMar>
              <w:top w:w="80" w:type="dxa"/>
              <w:left w:w="120" w:type="dxa"/>
              <w:bottom w:w="80" w:type="dxa"/>
              <w:right w:w="120" w:type="dxa"/>
            </w:tcMar>
          </w:tcPr>
          <w:p w:rsidR="002D3B39" w:rsidRPr="00427639" w:rsidRDefault="00626F8C">
            <w:pPr>
              <w:spacing w:before="20" w:after="20"/>
              <w:rPr>
                <w:color w:val="000000" w:themeColor="text1"/>
              </w:rPr>
            </w:pPr>
            <w:r w:rsidRPr="00427639">
              <w:rPr>
                <w:rFonts w:ascii="Times New Roman" w:hAnsi="Times New Roman"/>
                <w:color w:val="000000" w:themeColor="text1"/>
                <w:sz w:val="18"/>
              </w:rPr>
              <w:t>Benchmarking Scope</w:t>
            </w:r>
          </w:p>
        </w:tc>
        <w:tc>
          <w:tcPr>
            <w:tcW w:w="374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Evaluated on RCAEval Google Online Boutique microservice benchmark</w:t>
            </w:r>
          </w:p>
        </w:tc>
        <w:tc>
          <w:tcPr>
            <w:tcW w:w="3744" w:type="dxa"/>
            <w:shd w:val="clear" w:color="auto" w:fill="F7F9FC"/>
            <w:tcMar>
              <w:top w:w="80" w:type="dxa"/>
              <w:left w:w="120" w:type="dxa"/>
              <w:bottom w:w="80" w:type="dxa"/>
              <w:right w:w="120" w:type="dxa"/>
            </w:tcMar>
          </w:tcPr>
          <w:p w:rsidR="002D3B39" w:rsidRPr="00427639" w:rsidRDefault="00626F8C">
            <w:pPr>
              <w:spacing w:before="20" w:after="20"/>
              <w:jc w:val="center"/>
              <w:rPr>
                <w:color w:val="000000" w:themeColor="text1"/>
              </w:rPr>
            </w:pPr>
            <w:r w:rsidRPr="00427639">
              <w:rPr>
                <w:rFonts w:ascii="Times New Roman" w:hAnsi="Times New Roman"/>
                <w:color w:val="000000" w:themeColor="text1"/>
                <w:sz w:val="18"/>
              </w:rPr>
              <w:t>Multi-cluster evaluation across diverse enterpr</w:t>
            </w:r>
            <w:r w:rsidRPr="00427639">
              <w:rPr>
                <w:rFonts w:ascii="Times New Roman" w:hAnsi="Times New Roman"/>
                <w:color w:val="000000" w:themeColor="text1"/>
                <w:sz w:val="18"/>
              </w:rPr>
              <w:t>ise production benchmarks (e.g., TrainTicket, SockShop)</w:t>
            </w:r>
          </w:p>
        </w:tc>
      </w:tr>
    </w:tbl>
    <w:p w:rsidR="002D3B39" w:rsidRPr="00427639" w:rsidRDefault="002D3B39">
      <w:pPr>
        <w:spacing w:after="120"/>
        <w:rPr>
          <w:color w:val="000000" w:themeColor="text1"/>
        </w:rPr>
      </w:pPr>
    </w:p>
    <w:p w:rsidR="002D3B39" w:rsidRPr="00427639" w:rsidRDefault="00626F8C">
      <w:pPr>
        <w:keepNext/>
        <w:spacing w:before="280" w:after="80"/>
        <w:rPr>
          <w:color w:val="000000" w:themeColor="text1"/>
        </w:rPr>
      </w:pPr>
      <w:r w:rsidRPr="00427639">
        <w:rPr>
          <w:rFonts w:ascii="Times New Roman" w:hAnsi="Times New Roman"/>
          <w:b/>
          <w:color w:val="000000" w:themeColor="text1"/>
          <w:sz w:val="26"/>
        </w:rPr>
        <w:t>8. REFERENCES</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 xml:space="preserve">[1] J. Lewis and M. Fowler, "Microservices: A definition of this new architectural term," ThoughtWorks White Paper, vol. 23, no. 1, pp. 1–12, Mar. 2014. [Online]. Available: </w:t>
      </w:r>
      <w:r w:rsidRPr="00427639">
        <w:rPr>
          <w:rFonts w:ascii="Times New Roman" w:hAnsi="Times New Roman"/>
          <w:color w:val="000000" w:themeColor="text1"/>
          <w:sz w:val="17"/>
        </w:rPr>
        <w:t>https://martinfowler.com/articles/microservices.html</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[2] N. Dragoni, S. Giallorenzo, A. L. Lafuente, M. Mazzara, F. Montesi, A. Mustafin, and L. Safina, "Microservices: Yesterday, today, and tomorrow," in Present and Ulterior Software Engineering, M. Mazza</w:t>
      </w:r>
      <w:r w:rsidRPr="00427639">
        <w:rPr>
          <w:rFonts w:ascii="Times New Roman" w:hAnsi="Times New Roman"/>
          <w:color w:val="000000" w:themeColor="text1"/>
          <w:sz w:val="17"/>
        </w:rPr>
        <w:t>ra and B. Meyer, Eds. Cham: Springer, 2017, pp. 195–216. doi: 10.1007/978-3-319-67425-4_12.</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[3] X. Zhou, X. Peng, T. Xie, J. Sun, C. Ji, W. Li, and D. Ding, "Fault analysis and debugging of microservice systems: Industrial survey, benchmark system, and emp</w:t>
      </w:r>
      <w:r w:rsidRPr="00427639">
        <w:rPr>
          <w:rFonts w:ascii="Times New Roman" w:hAnsi="Times New Roman"/>
          <w:color w:val="000000" w:themeColor="text1"/>
          <w:sz w:val="17"/>
        </w:rPr>
        <w:t>irical study," IEEE Transactions on Software Engineering, vol. 47, no. 2, pp. 243–260, Feb. 2021. doi: 10.1109/TSE.2018.2887383.</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[4] C. S. Sivasubramanian, "Observability in modern cloud architectures: Metrics, logs, and distributed traces," ACM Queue, vol</w:t>
      </w:r>
      <w:r w:rsidRPr="00427639">
        <w:rPr>
          <w:rFonts w:ascii="Times New Roman" w:hAnsi="Times New Roman"/>
          <w:color w:val="000000" w:themeColor="text1"/>
          <w:sz w:val="17"/>
        </w:rPr>
        <w:t>. 18, no. 3, pp. 45–67, Jun. 2020. doi: 10.1145/3411757.</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[5] Prometheus Authors, "Prometheus: A modern open-source monitoring system and time series database," Cloud Native Computing Foundation (CNCF), 2024. [Online]. Available: https://prometheus.io/</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 xml:space="preserve">[6] </w:t>
      </w:r>
      <w:r w:rsidRPr="00427639">
        <w:rPr>
          <w:rFonts w:ascii="Times New Roman" w:hAnsi="Times New Roman"/>
          <w:color w:val="000000" w:themeColor="text1"/>
          <w:sz w:val="17"/>
        </w:rPr>
        <w:t>S. He, J. Zhu, P. He, and M. R. Lyu, "Loghub: A large collection of system log datasets towards automated log analytics," in Proc. IEEE 31st Int. Symp. Softw. Reliab. Eng. (ISSRE), Coimbra, Portugal, 2020, pp. 408–419. doi: 10.1109/ISSRE5003.2020.00046.</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[7</w:t>
      </w:r>
      <w:r w:rsidRPr="00427639">
        <w:rPr>
          <w:rFonts w:ascii="Times New Roman" w:hAnsi="Times New Roman"/>
          <w:color w:val="000000" w:themeColor="text1"/>
          <w:sz w:val="17"/>
        </w:rPr>
        <w:t>] OpenTelemetry Authors, "OpenTelemetry: High-quality, ubiquitous, and portable telemetry to enable effective observability," Cloud Native Computing Foundation (CNCF), 2024. [Online]. Available: https://opentelemetry.io/</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[8] Z. Chen, J. Liu, X. Peng, H. Zh</w:t>
      </w:r>
      <w:r w:rsidRPr="00427639">
        <w:rPr>
          <w:rFonts w:ascii="Times New Roman" w:hAnsi="Times New Roman"/>
          <w:color w:val="000000" w:themeColor="text1"/>
          <w:sz w:val="17"/>
        </w:rPr>
        <w:t>ang, and X. Gu, "Multimodal telemetry analysis for root cause localization in cloud computing: A survey," ACM Computing Surveys, vol. 56, no. 4, pp. 1–38, Apr. 2024. doi: 10.1145/3638245.</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[9] Y. Gan et al., "An open-source benchmark suite for microservices</w:t>
      </w:r>
      <w:r w:rsidRPr="00427639">
        <w:rPr>
          <w:rFonts w:ascii="Times New Roman" w:hAnsi="Times New Roman"/>
          <w:color w:val="000000" w:themeColor="text1"/>
          <w:sz w:val="17"/>
        </w:rPr>
        <w:t xml:space="preserve"> and their hardware-software implications for cloud and edge systems," in Proc. 24th Int. Conf. Archit. Support Program. Lang. Oper. Syst. (ASPLOS), Providence, RI, USA, 2019, pp. 3–18. doi: 10.1145/3297858.3304013.</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[10] Q. Lin, H. Zhang, J. G. Lou, B. Zha</w:t>
      </w:r>
      <w:r w:rsidRPr="00427639">
        <w:rPr>
          <w:rFonts w:ascii="Times New Roman" w:hAnsi="Times New Roman"/>
          <w:color w:val="000000" w:themeColor="text1"/>
          <w:sz w:val="17"/>
        </w:rPr>
        <w:t>ng, and X. Chen, "Log clustering based problem identification for online service systems," in Proc. 38th Int. Conf. Softw. Eng. Companion (ICSE-C), Austin, TX, USA, 2016, pp. 102–111. doi: 10.1145/2889160.2889232.</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[11] N. R. Boggs and G. G. Hurlburt, "Site</w:t>
      </w:r>
      <w:r w:rsidRPr="00427639">
        <w:rPr>
          <w:rFonts w:ascii="Times New Roman" w:hAnsi="Times New Roman"/>
          <w:color w:val="000000" w:themeColor="text1"/>
          <w:sz w:val="17"/>
        </w:rPr>
        <w:t xml:space="preserve"> Reliability Engineering: Managing complexity in cloud platforms," IEEE IT Professional, vol. 22, no. 4, pp. 14–18, Jul./Aug. 2020. doi: 10.1109/MITP.2020.2986423.</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[12] M. Du, F. Li, G. Zheng, and V. Srikumar, "DeepLog: Anomaly detection and diagnosis from</w:t>
      </w:r>
      <w:r w:rsidRPr="00427639">
        <w:rPr>
          <w:rFonts w:ascii="Times New Roman" w:hAnsi="Times New Roman"/>
          <w:color w:val="000000" w:themeColor="text1"/>
          <w:sz w:val="17"/>
        </w:rPr>
        <w:t xml:space="preserve"> system logs through deep learning," in Proc. ACM SIGSAC Conf. Comput. Commun. Secur. (CCS), Dallas, TX, USA, 2017, pp. 1285–1298. doi: 10.1145/3133956.3134015.</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 xml:space="preserve">[13] W. Meng, Y. Liu, Y. Zhu, S. Zhang, D. Pei, Y. Liu, Y. Chen, R. Tao, P. Sun, and R. Zhou, </w:t>
      </w:r>
      <w:r w:rsidRPr="00427639">
        <w:rPr>
          <w:rFonts w:ascii="Times New Roman" w:hAnsi="Times New Roman"/>
          <w:color w:val="000000" w:themeColor="text1"/>
          <w:sz w:val="17"/>
        </w:rPr>
        <w:t>"LogAnomaly: Unsupervised anomaly detection for large-scale log systems through semantic and mining information," in Proc. 28th Int. Joint Conf. Artif. Intell. (IJCAI), Macao, China, 2019, pp. 5172–5178. doi: 10.24963/ijcai.2019/718.</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 xml:space="preserve">[14] F. T. Liu, K. M. </w:t>
      </w:r>
      <w:r w:rsidRPr="00427639">
        <w:rPr>
          <w:rFonts w:ascii="Times New Roman" w:hAnsi="Times New Roman"/>
          <w:color w:val="000000" w:themeColor="text1"/>
          <w:sz w:val="17"/>
        </w:rPr>
        <w:t>Ting, and Z. H. Zhou, "Isolation Forest," in Proc. 8th IEEE Int. Conf. Data Min. (ICDM), Pisa, Italy, 2008, pp. 413–422. doi: 10.1109/ICDM.2008.17.</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[15] Y. Su, Y. Zhao, C. Niu, R. Liu, W. Sun, and D. Pei, "Robust anomaly detection for multivariate time ser</w:t>
      </w:r>
      <w:r w:rsidRPr="00427639">
        <w:rPr>
          <w:rFonts w:ascii="Times New Roman" w:hAnsi="Times New Roman"/>
          <w:color w:val="000000" w:themeColor="text1"/>
          <w:sz w:val="17"/>
        </w:rPr>
        <w:t>ies through stochastic recurrent neural networks," in Proc. 25th ACM SIGKDD Int. Conf. Knowl. Discov. Data Min. (KDD), Anchorage, AK, USA, 2019, pp. 2828–2837. doi: 10.1145/3292500.3330672.</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[16] H. Xu, W. Chen, N. Zhao, Z. Li, J. Bu, Z. Li, Y. Liu, Y. Zhao</w:t>
      </w:r>
      <w:r w:rsidRPr="00427639">
        <w:rPr>
          <w:rFonts w:ascii="Times New Roman" w:hAnsi="Times New Roman"/>
          <w:color w:val="000000" w:themeColor="text1"/>
          <w:sz w:val="17"/>
        </w:rPr>
        <w:t>, D. Pei, Y. Peng, W. Chi, and B. Chen, "Unsupervised anomaly detection via variational auto-encoder for seasonal KPIs in web applications," in Proc. 27th Int. World Wide Web Conf. (WWW), Lyon, France, 2018, pp. 187–196. doi: 10.1145/3178876.3185996.</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lastRenderedPageBreak/>
        <w:t xml:space="preserve">[17] </w:t>
      </w:r>
      <w:r w:rsidRPr="00427639">
        <w:rPr>
          <w:rFonts w:ascii="Times New Roman" w:hAnsi="Times New Roman"/>
          <w:color w:val="000000" w:themeColor="text1"/>
          <w:sz w:val="17"/>
        </w:rPr>
        <w:t>P. Liu, H. Xu, Q. Ouyang, R. Jiao, Z. Chen, S. Zhang, J. Yang, L. Mo, J. Zeng, W. Xue, and D. Pei, "Unsupervised detection of microservice trace anomalies through service-level deep Bayesian networks," in Proc. IEEE 31st Int. Symp. Softw. Reliab. Eng. (ISS</w:t>
      </w:r>
      <w:r w:rsidRPr="00427639">
        <w:rPr>
          <w:rFonts w:ascii="Times New Roman" w:hAnsi="Times New Roman"/>
          <w:color w:val="000000" w:themeColor="text1"/>
          <w:sz w:val="17"/>
        </w:rPr>
        <w:t>RE), Coimbra, Portugal, 2020, pp. 48–58. doi: 10.1109/ISSRE5003.2020.00014.</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[18] Q. Pham, M. Pourreza, Y. Kang, C. Zhang, P. Jamshidi, and L. Ding, "RCAEval: An empirical benchmark for root cause analysis in cloud-native microservices," in Proc. ACM Web Co</w:t>
      </w:r>
      <w:r w:rsidRPr="00427639">
        <w:rPr>
          <w:rFonts w:ascii="Times New Roman" w:hAnsi="Times New Roman"/>
          <w:color w:val="000000" w:themeColor="text1"/>
          <w:sz w:val="17"/>
        </w:rPr>
        <w:t>nf. (WWW), Sydney, Australia, Apr. 2025, pp. 1–12. doi: 10.1145/3696410.3714652.</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[19] P. He, J. Zhu, Z. Zheng, and M. R. Lyu, "Drain: An online log parsing approach with fixed depth tree," in Proc. IEEE Int. Conf. Web Serv. (ICWS), Honolulu, HI, USA, 2017,</w:t>
      </w:r>
      <w:r w:rsidRPr="00427639">
        <w:rPr>
          <w:rFonts w:ascii="Times New Roman" w:hAnsi="Times New Roman"/>
          <w:color w:val="000000" w:themeColor="text1"/>
          <w:sz w:val="17"/>
        </w:rPr>
        <w:t xml:space="preserve"> pp. 33–40. doi: 10.1109/ICWS.2017.13.</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[20] M. Du and F. Li, "Spell: Streaming parsing of system event logs," in Proc. IEEE 16th Int. Conf. Data Min. (ICDM), Barcelona, Spain, 2016, pp. 859–864. doi: 10.1109/ICDM.2016.0103.</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[21] X. Zhang, K. Xu, Q. Lin, B.</w:t>
      </w:r>
      <w:r w:rsidRPr="00427639">
        <w:rPr>
          <w:rFonts w:ascii="Times New Roman" w:hAnsi="Times New Roman"/>
          <w:color w:val="000000" w:themeColor="text1"/>
          <w:sz w:val="17"/>
        </w:rPr>
        <w:t xml:space="preserve"> Shen, D. Zhang, Y. Dang, S. Rajmohan, and S. Zhang, "Robust log-based anomaly detection on unstable log data," in Proc. 27th ACM Joint Meet. Eur. Softw. Eng. Conf. Symp. Found. Softw. Eng. (ESEC/FSE), Tallinn, Estonia, 2019, pp. 807–817. doi: 10.1145/3338</w:t>
      </w:r>
      <w:r w:rsidRPr="00427639">
        <w:rPr>
          <w:rFonts w:ascii="Times New Roman" w:hAnsi="Times New Roman"/>
          <w:color w:val="000000" w:themeColor="text1"/>
          <w:sz w:val="17"/>
        </w:rPr>
        <w:t>906.3338931.</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[22] B. Schölkopf, J. C. Platt, J. Shawe-Taylor, A. J. Smola, and R. C. Williamson, "Estimating the support of a high-dimensional distribution," Neural Computation, vol. 13, no. 7, pp. 1443–1471, Jul. 2001. doi: 10.1162/089976601750264965.</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[23</w:t>
      </w:r>
      <w:r w:rsidRPr="00427639">
        <w:rPr>
          <w:rFonts w:ascii="Times New Roman" w:hAnsi="Times New Roman"/>
          <w:color w:val="000000" w:themeColor="text1"/>
          <w:sz w:val="17"/>
        </w:rPr>
        <w:t>] K. Hundman, V. Constantinou, C. Laporte, I. Colwell, and T. Soderstrom, "Detecting spacecraft anomalies using LSTMs and nonparametric dynamic thresholding," in Proc. 24th ACM SIGKDD Int. Conf. Knowl. Discov. Data Min. (KDD), London, UK, 2018, pp. 387–395</w:t>
      </w:r>
      <w:r w:rsidRPr="00427639">
        <w:rPr>
          <w:rFonts w:ascii="Times New Roman" w:hAnsi="Times New Roman"/>
          <w:color w:val="000000" w:themeColor="text1"/>
          <w:sz w:val="17"/>
        </w:rPr>
        <w:t>. doi: 10.1145/3219819.3219845.</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[24] L. Wu, J. Tordsson, E. Elmroth, and O. Kao, "MicroRCA: Root cause analysis of performance degradation in microservices," in Proc. IEEE 28th Int. Symp. Model. Anal. Simul. Comput. Telecommun. Syst. (MASCOTS), Nice, Franc</w:t>
      </w:r>
      <w:r w:rsidRPr="00427639">
        <w:rPr>
          <w:rFonts w:ascii="Times New Roman" w:hAnsi="Times New Roman"/>
          <w:color w:val="000000" w:themeColor="text1"/>
          <w:sz w:val="17"/>
        </w:rPr>
        <w:t>e, 2020, pp. 1–8. doi: 10.1109/MASCOTS50786.2020.9336154.</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[25] Q. Pham, T. Hoang, and P. Jamshidi, "MicroCause: Path-based causal analysis for microservice root cause localization," in Proc. ACM Web Conf. (WWW), Sydney, Australia, Apr. 2025, pp. 240–251. d</w:t>
      </w:r>
      <w:r w:rsidRPr="00427639">
        <w:rPr>
          <w:rFonts w:ascii="Times New Roman" w:hAnsi="Times New Roman"/>
          <w:color w:val="000000" w:themeColor="text1"/>
          <w:sz w:val="17"/>
        </w:rPr>
        <w:t>oi: 10.1145/3696410.3714655.</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[26] C. Zhang, M. Pourreza, Q. Pham, and P. Jamshidi, "BARO: Robust root cause analysis for microservices through bidirectional change point detection," in Proc. ACM Int. Conf. Found. Softw. Eng. (FSE), Porto de Galinhas, Brazi</w:t>
      </w:r>
      <w:r w:rsidRPr="00427639">
        <w:rPr>
          <w:rFonts w:ascii="Times New Roman" w:hAnsi="Times New Roman"/>
          <w:color w:val="000000" w:themeColor="text1"/>
          <w:sz w:val="17"/>
        </w:rPr>
        <w:t>l, Jul. 2024, pp. 112–124. doi: 10.1145/3663529.3663801.</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[27] Z. Li, J. Chen, R. Jiao, N. Zhao, P. Wang, Z. Zhang, Y. Zou, X. Sen, and D. Pei, "Practical root cause analysis via multi-source data study in cloud systems," in Proc. IEEE 32nd Int. Symp. Softw</w:t>
      </w:r>
      <w:r w:rsidRPr="00427639">
        <w:rPr>
          <w:rFonts w:ascii="Times New Roman" w:hAnsi="Times New Roman"/>
          <w:color w:val="000000" w:themeColor="text1"/>
          <w:sz w:val="17"/>
        </w:rPr>
        <w:t>. Reliab. Eng. (ISSRE), Wuhan, China, 2021, pp. 194–205. doi: 10.1109/ISSRE52982.2021.00030.</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[28] P. Veličković, G. Cucurull, A. Casanova, A. Romero, P. Liò, and Y. Bengio, "Graph Attention Networks," in Proc. 6th Int. Conf. Learn. Represent. (ICLR), Vanco</w:t>
      </w:r>
      <w:r w:rsidRPr="00427639">
        <w:rPr>
          <w:rFonts w:ascii="Times New Roman" w:hAnsi="Times New Roman"/>
          <w:color w:val="000000" w:themeColor="text1"/>
          <w:sz w:val="17"/>
        </w:rPr>
        <w:t>uver, BC, Canada, 2018, pp. 1–12. [Online]. Available: https://arxiv.org/abs/1710.10903</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[29] S. Brody, U. Alon, and E. Yahav, "How attentive are graph attention networks?" in Proc. 10th Int. Conf. Learn. Represent. (ICLR), Virtual Event, 2022, pp. 1–14. [O</w:t>
      </w:r>
      <w:r w:rsidRPr="00427639">
        <w:rPr>
          <w:rFonts w:ascii="Times New Roman" w:hAnsi="Times New Roman"/>
          <w:color w:val="000000" w:themeColor="text1"/>
          <w:sz w:val="17"/>
        </w:rPr>
        <w:t>nline]. Available: https://arxiv.org/abs/2105.14491</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[30] T. Chen and C. Guestrin, "XGBoost: A scalable tree boosting system," in Proc. 22nd ACM SIGKDD Int. Conf. Knowl. Discov. Data Min. (KDD), San Francisco, CA, USA, 2016, pp. 785–794. doi: 10.1145/293967</w:t>
      </w:r>
      <w:r w:rsidRPr="00427639">
        <w:rPr>
          <w:rFonts w:ascii="Times New Roman" w:hAnsi="Times New Roman"/>
          <w:color w:val="000000" w:themeColor="text1"/>
          <w:sz w:val="17"/>
        </w:rPr>
        <w:t>2.2939785.</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[31] C. Guo, G. Pleiss, Y. Sun, and K. Q. Weinberger, "On calibration of modern neural networks," in Proc. 34th Int. Conf. Mach. Learn. (ICML), Sydney, NSW, Australia, 2017, pp. 1321–1330. [Online]. Available: http://proceedings.mlr.press/v70/gu</w:t>
      </w:r>
      <w:r w:rsidRPr="00427639">
        <w:rPr>
          <w:rFonts w:ascii="Times New Roman" w:hAnsi="Times New Roman"/>
          <w:color w:val="000000" w:themeColor="text1"/>
          <w:sz w:val="17"/>
        </w:rPr>
        <w:t>o17a.html</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 xml:space="preserve">[32] A. Vaswani, N. Shazeer, N. Parmar, J. Uszkoreit, L. Jones, A. N. Gomez, Ł. Kaiser, and I. Polosukhin, "Attention is all you need," in Proc. 31st Conf. Neural Inf. Process. Syst. (NeurIPS), Long Beach, CA, USA, 2017, pp. 5998–6008. [Online]. </w:t>
      </w:r>
      <w:r w:rsidRPr="00427639">
        <w:rPr>
          <w:rFonts w:ascii="Times New Roman" w:hAnsi="Times New Roman"/>
          <w:color w:val="000000" w:themeColor="text1"/>
          <w:sz w:val="17"/>
        </w:rPr>
        <w:t>Available: https://arxiv.org/abs/1706.03762</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[33] S. Bai, J. Z. Kolter, and V. Koltun, "An empirical evaluation of generic convolutional and recurrent networks for sequence modeling," arXiv preprint arXiv:1803.01271, pp. 1–14, 2018.</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 xml:space="preserve">[34] T. Akiba, S. Sano, </w:t>
      </w:r>
      <w:r w:rsidRPr="00427639">
        <w:rPr>
          <w:rFonts w:ascii="Times New Roman" w:hAnsi="Times New Roman"/>
          <w:color w:val="000000" w:themeColor="text1"/>
          <w:sz w:val="17"/>
        </w:rPr>
        <w:t>T. Yanase, T. Ohta, and M. Koyama, "Optuna: A next-generation hyperparameter optimization framework," in Proc. 25th ACM SIGKDD Int. Conf. Knowl. Discov. Data Min. (KDD), Anchorage, AK, USA, 2019, pp. 2623–2631. doi: 10.1145/3292500.3330701.</w:t>
      </w:r>
    </w:p>
    <w:p w:rsidR="002D3B39" w:rsidRPr="00427639" w:rsidRDefault="00626F8C">
      <w:pPr>
        <w:spacing w:before="20" w:after="60"/>
        <w:ind w:left="360" w:hanging="360"/>
        <w:rPr>
          <w:color w:val="000000" w:themeColor="text1"/>
        </w:rPr>
      </w:pPr>
      <w:r w:rsidRPr="00427639">
        <w:rPr>
          <w:rFonts w:ascii="Times New Roman" w:hAnsi="Times New Roman"/>
          <w:color w:val="000000" w:themeColor="text1"/>
          <w:sz w:val="17"/>
        </w:rPr>
        <w:t>[35] S. M. Lund</w:t>
      </w:r>
      <w:r w:rsidRPr="00427639">
        <w:rPr>
          <w:rFonts w:ascii="Times New Roman" w:hAnsi="Times New Roman"/>
          <w:color w:val="000000" w:themeColor="text1"/>
          <w:sz w:val="17"/>
        </w:rPr>
        <w:t>berg and S. I. Lee, "A unified approach to interpreting model predictions," in Proc. 31st Conf. Neural Inf. Process. Syst. (NeurIPS), Long Beach, CA, USA, 2017, pp. 4765–4774. [Online]. Available: https://arxiv.org/abs/1705.07874</w:t>
      </w:r>
    </w:p>
    <w:sectPr w:rsidR="002D3B39" w:rsidRPr="00427639" w:rsidSect="00034616">
      <w:headerReference w:type="default" r:id="rId23"/>
      <w:footerReference w:type="default" r:id="rId24"/>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F8C" w:rsidRDefault="00626F8C">
      <w:pPr>
        <w:spacing w:after="0" w:line="240" w:lineRule="auto"/>
      </w:pPr>
      <w:r>
        <w:separator/>
      </w:r>
    </w:p>
  </w:endnote>
  <w:endnote w:type="continuationSeparator" w:id="0">
    <w:p w:rsidR="00626F8C" w:rsidRDefault="00626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3B39" w:rsidRDefault="00626F8C">
    <w:pPr>
      <w:pStyle w:val="Footer"/>
      <w:jc w:val="center"/>
    </w:pPr>
    <w:r>
      <w:rPr>
        <w:rFonts w:ascii="Times New Roman" w:hAnsi="Times New Roman"/>
        <w:color w:val="90A4AE"/>
        <w:sz w:val="16"/>
      </w:rPr>
      <w:t>IEEE-Style Academic Research Investigation  |  Department of Computer Science &amp; Engineering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F8C" w:rsidRDefault="00626F8C">
      <w:pPr>
        <w:spacing w:after="0" w:line="240" w:lineRule="auto"/>
      </w:pPr>
      <w:r>
        <w:separator/>
      </w:r>
    </w:p>
  </w:footnote>
  <w:footnote w:type="continuationSeparator" w:id="0">
    <w:p w:rsidR="00626F8C" w:rsidRDefault="00626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3B39" w:rsidRDefault="00626F8C">
    <w:pPr>
      <w:pStyle w:val="Header"/>
      <w:jc w:val="right"/>
    </w:pPr>
    <w:r>
      <w:rPr>
        <w:rFonts w:ascii="Times New Roman" w:hAnsi="Times New Roman"/>
        <w:color w:val="78909C"/>
        <w:sz w:val="17"/>
      </w:rPr>
      <w:t>ORCA: Multimodal Deep Learning for Anomaly Detection and Root-Cause Localization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3B39"/>
    <w:rsid w:val="00326F90"/>
    <w:rsid w:val="00427639"/>
    <w:rsid w:val="00626F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6E52A"/>
  <w14:defaultImageDpi w14:val="300"/>
  <w15:docId w15:val="{9E28EBE5-E3BB-4382-B50A-14971FDA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A4E966-1727-45DC-B787-26F5CF913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7326</Words>
  <Characters>41764</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2026-10-15T05:26:00Z</dcterms:modified>
  <cp:category/>
</cp:coreProperties>
</file>