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 xml:space="preserve">Ingeniería Mecatrónica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 xml:space="preserve">NOMBRE DEL TUTOR:</w:t>
            </w:r>
            <w:r>
              <w:rPr>
                <w:b/>
              </w:rPr>
              <w:t xml:space="preserve"> Felipe Magallan Avila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34754C">
              <w:rPr>
                <w:b/>
              </w:rPr>
              <w:t xml:space="preserve"> 08/12/2022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 xml:space="preserve">Grupo: IMC-2022-3-A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>
              <w:rPr>
                <w:b/>
              </w:rPr>
              <w:t xml:space="preserve"> 22:54:16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1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david.av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David Avila Villa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10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1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1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100.0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2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jose.ve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Jose Daniel Velazquez Herrera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10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3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1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Insuficiente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20.0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08/12/2022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Ulises Rojas Ferreyra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Kevin Yair Díaz Alejandre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Ingeniería Mecatrónica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Ingeniería Mecatrónica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