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Juan Pablo Juarez Castillo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20/11/2022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en Sistemas Computacionales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20/11/2022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18:40:43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Laura Ferreyra Ortiz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12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123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23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123123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Laura Ferreyra Ortiz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21323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123123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12312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123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3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Laura Ferreyra Ortiz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ISC-C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123123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123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3123123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213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54353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54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354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35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43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543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543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5353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5353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tfcghjewbdwed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20/11/2022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Juan Pablo Juarez Castillo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