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479346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E9C5912" w14:textId="751BBF76" w:rsidR="0035481A" w:rsidRDefault="003548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185"/>
          </w:tblGrid>
          <w:tr w:rsidR="0035481A" w:rsidRPr="0035481A" w14:paraId="4B2E415A" w14:textId="77777777" w:rsidTr="0035481A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7C653A1230BD423F98EC85BA87E12C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Borders>
                      <w:left w:val="single" w:sz="36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11DBE8" w14:textId="6F7EE024" w:rsidR="0035481A" w:rsidRPr="0035481A" w:rsidRDefault="0035481A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35481A">
                      <w:rPr>
                        <w:color w:val="000000" w:themeColor="text1"/>
                        <w:sz w:val="24"/>
                        <w:szCs w:val="24"/>
                      </w:rPr>
                      <w:t xml:space="preserve">Group 1 </w:t>
                    </w:r>
                  </w:p>
                </w:tc>
              </w:sdtContent>
            </w:sdt>
          </w:tr>
          <w:tr w:rsidR="0035481A" w:rsidRPr="0035481A" w14:paraId="07CA8BB2" w14:textId="77777777" w:rsidTr="0035481A">
            <w:tc>
              <w:tcPr>
                <w:tcW w:w="7209" w:type="dxa"/>
                <w:tcBorders>
                  <w:left w:val="single" w:sz="36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9DD233ED09D14319BAB70E42493451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8DED04" w14:textId="4F727A74" w:rsidR="0035481A" w:rsidRPr="0035481A" w:rsidRDefault="003548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35481A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Controlled Environment Monitors</w:t>
                    </w:r>
                  </w:p>
                </w:sdtContent>
              </w:sdt>
            </w:tc>
          </w:tr>
          <w:tr w:rsidR="0035481A" w:rsidRPr="0035481A" w14:paraId="2E31C3A3" w14:textId="77777777" w:rsidTr="0035481A">
            <w:tc>
              <w:tcPr>
                <w:tcW w:w="7209" w:type="dxa"/>
                <w:tcBorders>
                  <w:left w:val="single" w:sz="36" w:space="0" w:color="0000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5DEBF5" w14:textId="28C78837" w:rsidR="0035481A" w:rsidRPr="0035481A" w:rsidRDefault="0035481A">
                <w:pPr>
                  <w:pStyle w:val="NoSpacing"/>
                  <w:rPr>
                    <w:color w:val="000000" w:themeColor="text1"/>
                    <w:sz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alias w:val="Subtitle"/>
                    <w:id w:val="13406923"/>
                    <w:placeholder>
                      <w:docPart w:val="F3F0260EBE964CE6B809D99574AE8F7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35481A">
                      <w:rPr>
                        <w:color w:val="000000" w:themeColor="text1"/>
                        <w:sz w:val="24"/>
                        <w:szCs w:val="24"/>
                      </w:rPr>
                      <w:t>Service Manual</w:t>
                    </w:r>
                  </w:sdtContent>
                </w:sdt>
                <w:r w:rsidRPr="0035481A">
                  <w:rPr>
                    <w:color w:val="000000" w:themeColor="text1"/>
                    <w:sz w:val="24"/>
                    <w:szCs w:val="24"/>
                  </w:rPr>
                  <w:t xml:space="preserve"> ( </w:t>
                </w:r>
                <w:r w:rsidRPr="0035481A">
                  <w:rPr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Pr="0035481A">
                  <w:rPr>
                    <w:color w:val="000000" w:themeColor="text1"/>
                    <w:sz w:val="24"/>
                    <w:szCs w:val="24"/>
                  </w:rPr>
                  <w:instrText xml:space="preserve"> DATE  \@ "MMMM yy"  \* MERGEFORMAT </w:instrText>
                </w:r>
                <w:r w:rsidRPr="0035481A">
                  <w:rPr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Pr="0035481A">
                  <w:rPr>
                    <w:noProof/>
                    <w:color w:val="000000" w:themeColor="text1"/>
                    <w:sz w:val="24"/>
                    <w:szCs w:val="24"/>
                  </w:rPr>
                  <w:t>June 19</w:t>
                </w:r>
                <w:r w:rsidRPr="0035481A">
                  <w:rPr>
                    <w:color w:val="000000" w:themeColor="text1"/>
                    <w:sz w:val="24"/>
                    <w:szCs w:val="24"/>
                  </w:rPr>
                  <w:fldChar w:fldCharType="end"/>
                </w:r>
                <w:r w:rsidRPr="0035481A">
                  <w:rPr>
                    <w:color w:val="000000" w:themeColor="text1"/>
                    <w:sz w:val="24"/>
                    <w:szCs w:val="24"/>
                  </w:rPr>
                  <w:t xml:space="preserve"> )</w:t>
                </w:r>
              </w:p>
            </w:tc>
          </w:tr>
        </w:tbl>
        <w:p w14:paraId="1EEB9413" w14:textId="3A233E59" w:rsidR="0035481A" w:rsidRDefault="0035481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5960E837" w14:textId="31A4EB81" w:rsidR="00B04127" w:rsidRDefault="00B04127" w:rsidP="0035481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Basic </w:t>
      </w:r>
    </w:p>
    <w:p w14:paraId="3F6650C0" w14:textId="287904EA" w:rsidR="00B04127" w:rsidRDefault="00CC738D" w:rsidP="0035481A">
      <w:pPr>
        <w:pStyle w:val="Heading2"/>
        <w:rPr>
          <w:lang w:val="en-US"/>
        </w:rPr>
      </w:pPr>
      <w:r w:rsidRPr="00CC738D">
        <w:rPr>
          <w:lang w:val="en-US"/>
        </w:rPr>
        <w:drawing>
          <wp:anchor distT="0" distB="0" distL="114300" distR="114300" simplePos="0" relativeHeight="251658240" behindDoc="1" locked="0" layoutInCell="1" allowOverlap="1" wp14:anchorId="325D073F" wp14:editId="5AC15BCC">
            <wp:simplePos x="0" y="0"/>
            <wp:positionH relativeFrom="margin">
              <wp:posOffset>2653441</wp:posOffset>
            </wp:positionH>
            <wp:positionV relativeFrom="paragraph">
              <wp:posOffset>332441</wp:posOffset>
            </wp:positionV>
            <wp:extent cx="3484880" cy="2375535"/>
            <wp:effectExtent l="0" t="0" r="127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127">
        <w:rPr>
          <w:lang w:val="en-US"/>
        </w:rPr>
        <w:t>Product View - Sensor Unit / Display Unit</w:t>
      </w:r>
    </w:p>
    <w:p w14:paraId="795E5A6D" w14:textId="46EB7E05" w:rsidR="00CC738D" w:rsidRPr="00CC738D" w:rsidRDefault="00CC738D" w:rsidP="00CC738D">
      <w:pPr>
        <w:rPr>
          <w:lang w:val="en-US"/>
        </w:rPr>
      </w:pPr>
      <w:r w:rsidRPr="00CC738D">
        <w:rPr>
          <w:lang w:val="en-US"/>
        </w:rPr>
        <w:drawing>
          <wp:anchor distT="0" distB="0" distL="114300" distR="114300" simplePos="0" relativeHeight="251659264" behindDoc="1" locked="0" layoutInCell="1" allowOverlap="1" wp14:anchorId="5A37364A" wp14:editId="1F4CBFAB">
            <wp:simplePos x="0" y="0"/>
            <wp:positionH relativeFrom="margin">
              <wp:align>left</wp:align>
            </wp:positionH>
            <wp:positionV relativeFrom="paragraph">
              <wp:posOffset>8853</wp:posOffset>
            </wp:positionV>
            <wp:extent cx="3101340" cy="25431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652A8" w14:textId="520137DC" w:rsidR="00CC738D" w:rsidRDefault="00CC738D" w:rsidP="0035481A">
      <w:pPr>
        <w:pStyle w:val="Heading2"/>
        <w:rPr>
          <w:lang w:val="en-US"/>
        </w:rPr>
      </w:pPr>
      <w:r w:rsidRPr="00CC738D">
        <w:rPr>
          <w:lang w:val="en-US"/>
        </w:rPr>
        <w:drawing>
          <wp:inline distT="0" distB="0" distL="0" distR="0" wp14:anchorId="195E274C" wp14:editId="0AAA0B2B">
            <wp:extent cx="3200400" cy="200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038" cy="20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Sensor Unit</w:t>
      </w:r>
      <w:bookmarkStart w:id="0" w:name="_GoBack"/>
      <w:bookmarkEnd w:id="0"/>
    </w:p>
    <w:p w14:paraId="19737C65" w14:textId="02117230" w:rsidR="00B04127" w:rsidRDefault="00B04127" w:rsidP="0035481A">
      <w:pPr>
        <w:pStyle w:val="Heading2"/>
        <w:rPr>
          <w:lang w:val="en-US"/>
        </w:rPr>
      </w:pPr>
      <w:r>
        <w:rPr>
          <w:lang w:val="en-US"/>
        </w:rPr>
        <w:t xml:space="preserve">Overview </w:t>
      </w:r>
    </w:p>
    <w:p w14:paraId="030700E6" w14:textId="3AE51DF6" w:rsidR="00B04127" w:rsidRDefault="00B04127" w:rsidP="00B04127">
      <w:pPr>
        <w:rPr>
          <w:lang w:val="en-US"/>
        </w:rPr>
      </w:pPr>
      <w:r w:rsidRPr="0035481A">
        <w:t xml:space="preserve">Controlled Environment Monitors are designed to raise an alarm when surrounding parameters exceed </w:t>
      </w:r>
      <w:r w:rsidR="00902290" w:rsidRPr="0035481A">
        <w:t>pre-set</w:t>
      </w:r>
      <w:r w:rsidRPr="0035481A">
        <w:t xml:space="preserve"> thresholds. Unlike household sensors CEM is designed to work off the grid. This makes it suitable to be used for monitoring closed agricultural environments like propagators and green houses</w:t>
      </w:r>
      <w:r>
        <w:rPr>
          <w:lang w:val="en-US"/>
        </w:rPr>
        <w:t>.</w:t>
      </w:r>
    </w:p>
    <w:p w14:paraId="5CF81AC4" w14:textId="345B2EF7" w:rsidR="0035481A" w:rsidRDefault="0035481A" w:rsidP="0035481A">
      <w:pPr>
        <w:pStyle w:val="Heading1"/>
        <w:rPr>
          <w:lang w:val="en-US"/>
        </w:rPr>
      </w:pPr>
      <w:r>
        <w:t>Display Unit</w:t>
      </w:r>
    </w:p>
    <w:p w14:paraId="2259A3CD" w14:textId="310AA452" w:rsidR="00B04127" w:rsidRDefault="00254301" w:rsidP="0035481A">
      <w:pPr>
        <w:pStyle w:val="Heading1"/>
        <w:rPr>
          <w:lang w:val="en-US"/>
        </w:rPr>
      </w:pPr>
      <w:r>
        <w:rPr>
          <w:lang w:val="en-US"/>
        </w:rPr>
        <w:t>Parts and Procedures</w:t>
      </w:r>
    </w:p>
    <w:p w14:paraId="004EA713" w14:textId="77777777" w:rsidR="00171870" w:rsidRPr="00171870" w:rsidRDefault="00171870" w:rsidP="00171870">
      <w:pPr>
        <w:rPr>
          <w:lang w:val="en-US"/>
        </w:rPr>
      </w:pPr>
    </w:p>
    <w:p w14:paraId="7E3709E6" w14:textId="14A395E3" w:rsidR="00254301" w:rsidRDefault="00254301" w:rsidP="0035481A">
      <w:pPr>
        <w:pStyle w:val="Heading1"/>
        <w:rPr>
          <w:lang w:val="en-US"/>
        </w:rPr>
      </w:pPr>
      <w:r>
        <w:rPr>
          <w:lang w:val="en-US"/>
        </w:rPr>
        <w:t xml:space="preserve">Tools </w:t>
      </w:r>
    </w:p>
    <w:p w14:paraId="692D6CC3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Clean non-marring work surface</w:t>
      </w:r>
    </w:p>
    <w:p w14:paraId="6E218599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Multi-compartment screw tray (such as a plastic ice cube tray)</w:t>
      </w:r>
    </w:p>
    <w:p w14:paraId="170F3472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#0 Phillips screwdriver (magnetized)</w:t>
      </w:r>
    </w:p>
    <w:p w14:paraId="3D5BC89D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Torx T6 screwdriver (magnetized)</w:t>
      </w:r>
    </w:p>
    <w:p w14:paraId="052C08A7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Black stick (nylon probe 922-5065) (or other non-conductive nylon or plastic flat-blade tool</w:t>
      </w:r>
    </w:p>
    <w:p w14:paraId="0554AB70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lastRenderedPageBreak/>
        <w:t>Razor knife</w:t>
      </w:r>
    </w:p>
    <w:p w14:paraId="1C41A714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Needle-point metal probe</w:t>
      </w:r>
    </w:p>
    <w:p w14:paraId="1DB3775F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Needlenose pliers</w:t>
      </w:r>
    </w:p>
    <w:p w14:paraId="08F72778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Kapton tape (922-1731 (0.5-inch x 12-yard roll))</w:t>
      </w:r>
    </w:p>
    <w:p w14:paraId="0CB1E3AA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Thermal grease (922-7144, Pkg. of 3 syringes)</w:t>
      </w:r>
    </w:p>
    <w:p w14:paraId="1F77A5A9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Gasket kit (076-1206)</w:t>
      </w:r>
    </w:p>
    <w:p w14:paraId="4C1B0103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Isopropyl alcohol cleaning wipes</w:t>
      </w:r>
    </w:p>
    <w:p w14:paraId="03B5D90D" w14:textId="70DC0D0C" w:rsidR="00254301" w:rsidRDefault="00254301" w:rsidP="0035481A">
      <w:pPr>
        <w:pStyle w:val="Heading2"/>
        <w:rPr>
          <w:lang w:val="en-US"/>
        </w:rPr>
      </w:pPr>
      <w:r>
        <w:rPr>
          <w:lang w:val="en-US"/>
        </w:rPr>
        <w:t>Warning</w:t>
      </w:r>
    </w:p>
    <w:p w14:paraId="44ED844A" w14:textId="572F07F3" w:rsidR="00254301" w:rsidRDefault="00254301" w:rsidP="00B04127">
      <w:pPr>
        <w:rPr>
          <w:rFonts w:cs="Myriad Set"/>
          <w:color w:val="211D1E"/>
          <w:sz w:val="20"/>
          <w:szCs w:val="20"/>
        </w:rPr>
      </w:pPr>
      <w:r w:rsidRPr="0035481A">
        <w:t xml:space="preserve">In this manual, graphics or photos are intended to help illustrate procedures or information only, and may show different levels of disassembly, board colors, configurations than your </w:t>
      </w:r>
      <w:r w:rsidRPr="0035481A">
        <w:t>device</w:t>
      </w:r>
      <w:r>
        <w:rPr>
          <w:rFonts w:cs="Myriad Set"/>
          <w:color w:val="211D1E"/>
          <w:sz w:val="20"/>
          <w:szCs w:val="20"/>
        </w:rPr>
        <w:t>.</w:t>
      </w:r>
    </w:p>
    <w:p w14:paraId="3D3019F3" w14:textId="76434917" w:rsidR="00254301" w:rsidRDefault="0035481A" w:rsidP="0035481A">
      <w:pPr>
        <w:pStyle w:val="Heading1"/>
      </w:pPr>
      <w:r>
        <w:t xml:space="preserve">Disassembly and Repair </w:t>
      </w:r>
    </w:p>
    <w:p w14:paraId="6D3B5CDF" w14:textId="72EBAE49" w:rsidR="00254301" w:rsidRDefault="00254301" w:rsidP="0035481A">
      <w:pPr>
        <w:pStyle w:val="Heading2"/>
      </w:pPr>
      <w:r>
        <w:t xml:space="preserve">Battery </w:t>
      </w:r>
    </w:p>
    <w:p w14:paraId="568A1CAE" w14:textId="7B0F171A" w:rsidR="00097D15" w:rsidRDefault="00097D15" w:rsidP="0035481A">
      <w:pPr>
        <w:pStyle w:val="Heading3"/>
      </w:pPr>
      <w:r>
        <w:t>Part Location</w:t>
      </w:r>
    </w:p>
    <w:p w14:paraId="48309C1B" w14:textId="09529E77" w:rsidR="00254301" w:rsidRDefault="00254301" w:rsidP="0035481A">
      <w:pPr>
        <w:pStyle w:val="Heading3"/>
      </w:pPr>
      <w:r>
        <w:t>Procedure</w:t>
      </w:r>
    </w:p>
    <w:p w14:paraId="4195E710" w14:textId="6DE8671A" w:rsidR="00254301" w:rsidRPr="00097D15" w:rsidRDefault="00254301" w:rsidP="0035481A">
      <w:pPr>
        <w:pStyle w:val="ListParagraph"/>
        <w:numPr>
          <w:ilvl w:val="0"/>
          <w:numId w:val="6"/>
        </w:numPr>
      </w:pPr>
      <w:r w:rsidRPr="00097D15">
        <w:t xml:space="preserve">Turn off the Display unit </w:t>
      </w:r>
    </w:p>
    <w:p w14:paraId="5D4F22C3" w14:textId="3CBB062B" w:rsidR="00254301" w:rsidRPr="00097D15" w:rsidRDefault="00254301" w:rsidP="0035481A">
      <w:pPr>
        <w:pStyle w:val="ListParagraph"/>
        <w:numPr>
          <w:ilvl w:val="0"/>
          <w:numId w:val="6"/>
        </w:numPr>
      </w:pPr>
      <w:r w:rsidRPr="00097D15">
        <w:t xml:space="preserve">Place the Display unit with the LCD screen face down. </w:t>
      </w:r>
    </w:p>
    <w:p w14:paraId="0FFD48E3" w14:textId="1B80F170" w:rsidR="00254301" w:rsidRPr="00097D15" w:rsidRDefault="00254301" w:rsidP="0035481A">
      <w:pPr>
        <w:pStyle w:val="ListParagraph"/>
        <w:numPr>
          <w:ilvl w:val="0"/>
          <w:numId w:val="6"/>
        </w:numPr>
      </w:pPr>
      <w:r w:rsidRPr="00097D15">
        <w:t xml:space="preserve">Rotate the battery cover </w:t>
      </w:r>
    </w:p>
    <w:p w14:paraId="0F6ADE5C" w14:textId="265EBCE2" w:rsidR="00254301" w:rsidRPr="00097D15" w:rsidRDefault="00254301" w:rsidP="0035481A">
      <w:pPr>
        <w:pStyle w:val="ListParagraph"/>
        <w:numPr>
          <w:ilvl w:val="0"/>
          <w:numId w:val="6"/>
        </w:numPr>
      </w:pPr>
      <w:r w:rsidRPr="00097D15">
        <w:t>Disconnect the battery connector and take out the battery</w:t>
      </w:r>
    </w:p>
    <w:p w14:paraId="55DEDE85" w14:textId="49450B56" w:rsidR="00254301" w:rsidRDefault="00254301" w:rsidP="0035481A">
      <w:pPr>
        <w:pStyle w:val="Heading2"/>
      </w:pPr>
      <w:r>
        <w:t xml:space="preserve">Accessing the Internals </w:t>
      </w:r>
    </w:p>
    <w:p w14:paraId="78D0B230" w14:textId="7C57B809" w:rsidR="00097D15" w:rsidRDefault="00097D15" w:rsidP="0035481A">
      <w:pPr>
        <w:pStyle w:val="ListParagraph"/>
        <w:numPr>
          <w:ilvl w:val="0"/>
          <w:numId w:val="7"/>
        </w:numPr>
      </w:pPr>
      <w:r>
        <w:t>Remove the 2 screws from each side</w:t>
      </w:r>
    </w:p>
    <w:p w14:paraId="4C3C2A34" w14:textId="33A28504" w:rsidR="00097D15" w:rsidRDefault="00097D15" w:rsidP="0035481A">
      <w:pPr>
        <w:pStyle w:val="ListParagraph"/>
        <w:numPr>
          <w:ilvl w:val="0"/>
          <w:numId w:val="7"/>
        </w:numPr>
      </w:pPr>
      <w:r>
        <w:t>Pry open the top case by holding from the edges</w:t>
      </w:r>
    </w:p>
    <w:p w14:paraId="7CD5C184" w14:textId="77777777" w:rsidR="00097D15" w:rsidRPr="00097D15" w:rsidRDefault="00097D15" w:rsidP="00097D15">
      <w:pPr>
        <w:pStyle w:val="ListParagraph"/>
        <w:numPr>
          <w:ilvl w:val="0"/>
          <w:numId w:val="1"/>
        </w:numPr>
        <w:rPr>
          <w:rFonts w:cs="Myriad Set"/>
          <w:color w:val="211D1E"/>
          <w:sz w:val="20"/>
          <w:szCs w:val="20"/>
        </w:rPr>
      </w:pPr>
    </w:p>
    <w:p w14:paraId="7D087A34" w14:textId="71CE8C77" w:rsidR="00097D15" w:rsidRDefault="00097D15" w:rsidP="0035481A">
      <w:pPr>
        <w:pStyle w:val="Heading2"/>
      </w:pPr>
      <w:r>
        <w:t>Replacing the LCD</w:t>
      </w:r>
    </w:p>
    <w:p w14:paraId="1BEFA8AB" w14:textId="0A2D872A" w:rsidR="00097D15" w:rsidRDefault="00097D15" w:rsidP="0035481A">
      <w:pPr>
        <w:pStyle w:val="Heading3"/>
      </w:pPr>
      <w:r>
        <w:t xml:space="preserve">Part Location </w:t>
      </w:r>
    </w:p>
    <w:p w14:paraId="0FA705C4" w14:textId="1E7161A0" w:rsidR="00097D15" w:rsidRDefault="00097D15" w:rsidP="0035481A">
      <w:pPr>
        <w:pStyle w:val="Heading3"/>
      </w:pPr>
      <w:r>
        <w:t>Procedure</w:t>
      </w:r>
    </w:p>
    <w:p w14:paraId="7EBAF2D7" w14:textId="40C18803" w:rsidR="00097D15" w:rsidRDefault="00902290" w:rsidP="0035481A">
      <w:pPr>
        <w:pStyle w:val="ListParagraph"/>
        <w:numPr>
          <w:ilvl w:val="0"/>
          <w:numId w:val="1"/>
        </w:numPr>
      </w:pPr>
      <w:r>
        <w:t>Open up</w:t>
      </w:r>
      <w:r w:rsidR="00097D15">
        <w:t xml:space="preserve"> the Display unit – See accessing internals</w:t>
      </w:r>
    </w:p>
    <w:p w14:paraId="7573A369" w14:textId="4AAEF915" w:rsidR="00097D15" w:rsidRDefault="00097D15" w:rsidP="0035481A">
      <w:pPr>
        <w:pStyle w:val="ListParagraph"/>
        <w:numPr>
          <w:ilvl w:val="0"/>
          <w:numId w:val="1"/>
        </w:numPr>
      </w:pPr>
      <w:r>
        <w:t>Disconnect the LCD connector</w:t>
      </w:r>
    </w:p>
    <w:p w14:paraId="359675AB" w14:textId="01ADA70F" w:rsidR="00097D15" w:rsidRDefault="00097D15" w:rsidP="0035481A">
      <w:pPr>
        <w:pStyle w:val="ListParagraph"/>
        <w:numPr>
          <w:ilvl w:val="0"/>
          <w:numId w:val="1"/>
        </w:numPr>
      </w:pPr>
      <w:r>
        <w:t xml:space="preserve">Press firmly on the LCD </w:t>
      </w:r>
      <w:r w:rsidR="003770C6">
        <w:t>and pop it out</w:t>
      </w:r>
    </w:p>
    <w:p w14:paraId="7DEEAB8F" w14:textId="7E6FB4AC" w:rsidR="003770C6" w:rsidRDefault="003770C6" w:rsidP="0035481A">
      <w:pPr>
        <w:pStyle w:val="ListParagraph"/>
        <w:numPr>
          <w:ilvl w:val="0"/>
          <w:numId w:val="1"/>
        </w:numPr>
      </w:pPr>
      <w:r>
        <w:t>Pop in the new display</w:t>
      </w:r>
    </w:p>
    <w:p w14:paraId="1E731A5B" w14:textId="1F79B778" w:rsidR="003770C6" w:rsidRDefault="003770C6" w:rsidP="0035481A">
      <w:pPr>
        <w:pStyle w:val="ListParagraph"/>
        <w:numPr>
          <w:ilvl w:val="0"/>
          <w:numId w:val="1"/>
        </w:numPr>
      </w:pPr>
      <w:r>
        <w:t>Reconnect the LCD connector</w:t>
      </w:r>
    </w:p>
    <w:p w14:paraId="1B803B88" w14:textId="7A03D4A5" w:rsidR="003770C6" w:rsidRPr="00097D15" w:rsidRDefault="003770C6" w:rsidP="0035481A">
      <w:pPr>
        <w:pStyle w:val="ListParagraph"/>
        <w:numPr>
          <w:ilvl w:val="0"/>
          <w:numId w:val="1"/>
        </w:numPr>
      </w:pPr>
      <w:r>
        <w:t xml:space="preserve">Closing </w:t>
      </w:r>
    </w:p>
    <w:p w14:paraId="08A311B9" w14:textId="77777777" w:rsidR="00097D15" w:rsidRDefault="00097D15" w:rsidP="00B04127">
      <w:pPr>
        <w:rPr>
          <w:rFonts w:cs="Myriad Set"/>
          <w:color w:val="211D1E"/>
          <w:sz w:val="20"/>
          <w:szCs w:val="20"/>
        </w:rPr>
      </w:pPr>
    </w:p>
    <w:p w14:paraId="576C16C6" w14:textId="75E0DD7E" w:rsidR="00254301" w:rsidRDefault="003770C6" w:rsidP="0035481A">
      <w:pPr>
        <w:pStyle w:val="Heading1"/>
        <w:rPr>
          <w:lang w:val="en-US"/>
        </w:rPr>
      </w:pPr>
      <w:r>
        <w:rPr>
          <w:lang w:val="en-US"/>
        </w:rPr>
        <w:t>Troubleshooting</w:t>
      </w:r>
    </w:p>
    <w:p w14:paraId="4E9E1D1D" w14:textId="19FD447A" w:rsidR="003770C6" w:rsidRDefault="003770C6" w:rsidP="00B04127">
      <w:pPr>
        <w:rPr>
          <w:lang w:val="en-US"/>
        </w:rPr>
      </w:pPr>
      <w:r>
        <w:rPr>
          <w:lang w:val="en-US"/>
        </w:rPr>
        <w:t xml:space="preserve">LCD not working </w:t>
      </w:r>
      <w:r>
        <w:rPr>
          <w:lang w:val="en-US"/>
        </w:rPr>
        <w:tab/>
        <w:t xml:space="preserve">Side LEDs are off </w:t>
      </w:r>
      <w:r>
        <w:rPr>
          <w:lang w:val="en-US"/>
        </w:rPr>
        <w:tab/>
        <w:t xml:space="preserve">Device Turned off </w:t>
      </w:r>
    </w:p>
    <w:p w14:paraId="6DA01B4B" w14:textId="77777777" w:rsidR="003770C6" w:rsidRDefault="003770C6" w:rsidP="00B04127">
      <w:pPr>
        <w:rPr>
          <w:lang w:val="en-US"/>
        </w:rPr>
      </w:pPr>
    </w:p>
    <w:p w14:paraId="30F14C95" w14:textId="347480A9" w:rsidR="00B04127" w:rsidRPr="00B04127" w:rsidRDefault="003770C6" w:rsidP="00902290">
      <w:pPr>
        <w:pStyle w:val="Heading1"/>
        <w:rPr>
          <w:lang w:val="en-US"/>
        </w:rPr>
      </w:pPr>
      <w:r>
        <w:rPr>
          <w:lang w:val="en-US"/>
        </w:rPr>
        <w:t>Exploded Views</w:t>
      </w:r>
    </w:p>
    <w:sectPr w:rsidR="00B04127" w:rsidRPr="00B04127" w:rsidSect="0035481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B6DA" w14:textId="77777777" w:rsidR="00F07C6E" w:rsidRDefault="00F07C6E" w:rsidP="00141ACD">
      <w:pPr>
        <w:spacing w:after="0" w:line="240" w:lineRule="auto"/>
      </w:pPr>
      <w:r>
        <w:separator/>
      </w:r>
    </w:p>
  </w:endnote>
  <w:endnote w:type="continuationSeparator" w:id="0">
    <w:p w14:paraId="7F8DD81C" w14:textId="77777777" w:rsidR="00F07C6E" w:rsidRDefault="00F07C6E" w:rsidP="0014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63BC" w14:textId="4DA53B33" w:rsidR="00141ACD" w:rsidRPr="00141ACD" w:rsidRDefault="00141ACD" w:rsidP="00141ACD">
    <w:pPr>
      <w:jc w:val="right"/>
      <w:rPr>
        <w:sz w:val="18"/>
        <w:szCs w:val="18"/>
        <w:lang w:val="en-US"/>
      </w:rPr>
    </w:pPr>
    <w:r w:rsidRPr="00141ACD">
      <w:rPr>
        <w:sz w:val="18"/>
        <w:szCs w:val="18"/>
        <w:lang w:val="en-US"/>
      </w:rPr>
      <w:t>Group 1</w:t>
    </w:r>
    <w:r w:rsidRPr="00141ACD">
      <w:rPr>
        <w:sz w:val="18"/>
        <w:szCs w:val="18"/>
        <w:lang w:val="en-US"/>
      </w:rPr>
      <w:t xml:space="preserve"> - EN3023 </w:t>
    </w:r>
    <w:r w:rsidRPr="00141ACD">
      <w:rPr>
        <w:sz w:val="18"/>
        <w:szCs w:val="18"/>
        <w:lang w:val="en-US"/>
      </w:rPr>
      <w:t xml:space="preserve">Electronic Design Realization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7D4CF" w14:textId="77777777" w:rsidR="00F07C6E" w:rsidRDefault="00F07C6E" w:rsidP="00141ACD">
      <w:pPr>
        <w:spacing w:after="0" w:line="240" w:lineRule="auto"/>
      </w:pPr>
      <w:r>
        <w:separator/>
      </w:r>
    </w:p>
  </w:footnote>
  <w:footnote w:type="continuationSeparator" w:id="0">
    <w:p w14:paraId="7CDE7674" w14:textId="77777777" w:rsidR="00F07C6E" w:rsidRDefault="00F07C6E" w:rsidP="00141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6AE"/>
    <w:multiLevelType w:val="hybridMultilevel"/>
    <w:tmpl w:val="2DAEE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679C"/>
    <w:multiLevelType w:val="hybridMultilevel"/>
    <w:tmpl w:val="8A7AF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8437F"/>
    <w:multiLevelType w:val="hybridMultilevel"/>
    <w:tmpl w:val="3E24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529"/>
    <w:multiLevelType w:val="hybridMultilevel"/>
    <w:tmpl w:val="0A244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4F35"/>
    <w:multiLevelType w:val="hybridMultilevel"/>
    <w:tmpl w:val="B86A3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124F8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61961"/>
    <w:multiLevelType w:val="hybridMultilevel"/>
    <w:tmpl w:val="6EB0D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0MzM3MjIzNDK2NLdQ0lEKTi0uzszPAykwrAUApc8uJSwAAAA="/>
  </w:docVars>
  <w:rsids>
    <w:rsidRoot w:val="00B04127"/>
    <w:rsid w:val="00097D15"/>
    <w:rsid w:val="00141ACD"/>
    <w:rsid w:val="00171870"/>
    <w:rsid w:val="00254301"/>
    <w:rsid w:val="0035481A"/>
    <w:rsid w:val="003770C6"/>
    <w:rsid w:val="00902290"/>
    <w:rsid w:val="00B04127"/>
    <w:rsid w:val="00C4249A"/>
    <w:rsid w:val="00C81E5E"/>
    <w:rsid w:val="00CC738D"/>
    <w:rsid w:val="00F066AA"/>
    <w:rsid w:val="00F0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8063"/>
  <w15:chartTrackingRefBased/>
  <w15:docId w15:val="{CD687565-F633-4108-A4E6-DC44178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7">
    <w:name w:val="Pa7"/>
    <w:basedOn w:val="Normal"/>
    <w:next w:val="Normal"/>
    <w:uiPriority w:val="99"/>
    <w:rsid w:val="00B04127"/>
    <w:pPr>
      <w:autoSpaceDE w:val="0"/>
      <w:autoSpaceDN w:val="0"/>
      <w:adjustRightInd w:val="0"/>
      <w:spacing w:after="0" w:line="281" w:lineRule="atLeast"/>
    </w:pPr>
    <w:rPr>
      <w:rFonts w:ascii="Times" w:hAnsi="Times" w:cs="Time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B04127"/>
    <w:pPr>
      <w:autoSpaceDE w:val="0"/>
      <w:autoSpaceDN w:val="0"/>
      <w:adjustRightInd w:val="0"/>
      <w:spacing w:after="0" w:line="241" w:lineRule="atLeast"/>
    </w:pPr>
    <w:rPr>
      <w:rFonts w:ascii="Times" w:hAnsi="Times" w:cs="Times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B04127"/>
    <w:pPr>
      <w:autoSpaceDE w:val="0"/>
      <w:autoSpaceDN w:val="0"/>
      <w:adjustRightInd w:val="0"/>
      <w:spacing w:after="0" w:line="201" w:lineRule="atLeast"/>
    </w:pPr>
    <w:rPr>
      <w:rFonts w:ascii="Times" w:hAnsi="Times" w:cs="Times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B04127"/>
    <w:pPr>
      <w:autoSpaceDE w:val="0"/>
      <w:autoSpaceDN w:val="0"/>
      <w:adjustRightInd w:val="0"/>
      <w:spacing w:after="0" w:line="181" w:lineRule="atLeast"/>
    </w:pPr>
    <w:rPr>
      <w:rFonts w:ascii="Times" w:hAnsi="Times" w:cs="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1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CD"/>
  </w:style>
  <w:style w:type="paragraph" w:styleId="Footer">
    <w:name w:val="footer"/>
    <w:basedOn w:val="Normal"/>
    <w:link w:val="FooterChar"/>
    <w:uiPriority w:val="99"/>
    <w:unhideWhenUsed/>
    <w:rsid w:val="00141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CD"/>
  </w:style>
  <w:style w:type="character" w:styleId="PlaceholderText">
    <w:name w:val="Placeholder Text"/>
    <w:basedOn w:val="DefaultParagraphFont"/>
    <w:uiPriority w:val="99"/>
    <w:semiHidden/>
    <w:rsid w:val="003548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548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81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653A1230BD423F98EC85BA87E12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BDA45-43E8-4908-A1CA-E607F7A780A0}"/>
      </w:docPartPr>
      <w:docPartBody>
        <w:p w:rsidR="00000000" w:rsidRDefault="00E02F77" w:rsidP="00E02F77">
          <w:pPr>
            <w:pStyle w:val="7C653A1230BD423F98EC85BA87E12CD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D233ED09D14319BAB70E4249345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35A5-350F-41F1-B266-29BDD827A2C6}"/>
      </w:docPartPr>
      <w:docPartBody>
        <w:p w:rsidR="00000000" w:rsidRDefault="00E02F77" w:rsidP="00E02F77">
          <w:pPr>
            <w:pStyle w:val="9DD233ED09D14319BAB70E424934512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3F0260EBE964CE6B809D99574AE8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8F5C-FE01-4CAE-B42E-A7E53A068C3E}"/>
      </w:docPartPr>
      <w:docPartBody>
        <w:p w:rsidR="00000000" w:rsidRDefault="00E02F77" w:rsidP="00E02F77">
          <w:pPr>
            <w:pStyle w:val="F3F0260EBE964CE6B809D99574AE8F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77"/>
    <w:rsid w:val="00A7039A"/>
    <w:rsid w:val="00E0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F77"/>
    <w:rPr>
      <w:color w:val="808080"/>
    </w:rPr>
  </w:style>
  <w:style w:type="paragraph" w:customStyle="1" w:styleId="7C653A1230BD423F98EC85BA87E12CD9">
    <w:name w:val="7C653A1230BD423F98EC85BA87E12CD9"/>
    <w:rsid w:val="00E02F77"/>
  </w:style>
  <w:style w:type="paragraph" w:customStyle="1" w:styleId="9DD233ED09D14319BAB70E4249345124">
    <w:name w:val="9DD233ED09D14319BAB70E4249345124"/>
    <w:rsid w:val="00E02F77"/>
  </w:style>
  <w:style w:type="paragraph" w:customStyle="1" w:styleId="F3F0260EBE964CE6B809D99574AE8F71">
    <w:name w:val="F3F0260EBE964CE6B809D99574AE8F71"/>
    <w:rsid w:val="00E02F77"/>
  </w:style>
  <w:style w:type="paragraph" w:customStyle="1" w:styleId="8AC400CE536D4DA68E370E6BFC863A09">
    <w:name w:val="8AC400CE536D4DA68E370E6BFC863A09"/>
    <w:rsid w:val="00E02F77"/>
  </w:style>
  <w:style w:type="paragraph" w:customStyle="1" w:styleId="35E7C9841A7F4C11AD6014FC4BF0C889">
    <w:name w:val="35E7C9841A7F4C11AD6014FC4BF0C889"/>
    <w:rsid w:val="00E02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AFC35-5F58-4ECD-81F9-AC5B4117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1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Environment Monitors</dc:title>
  <dc:subject>Service Manual</dc:subject>
  <dc:creator>Timmy Ekanayake</dc:creator>
  <cp:keywords/>
  <dc:description/>
  <cp:lastModifiedBy>Timmy Ekanayake</cp:lastModifiedBy>
  <cp:revision>3</cp:revision>
  <dcterms:created xsi:type="dcterms:W3CDTF">2019-06-16T13:52:00Z</dcterms:created>
  <dcterms:modified xsi:type="dcterms:W3CDTF">2019-06-16T15:24:00Z</dcterms:modified>
</cp:coreProperties>
</file>