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CARL’S WORKING NOTES</w:t>
      </w:r>
      <w:r>
        <w:br/>
      </w:r>
      <w:r>
        <w:t xml:space="preserve">VINTERBERG GROUP TRANSACTION LEDGER AUDIT</w:t>
      </w:r>
      <w:r>
        <w:br/>
      </w:r>
      <w:r>
        <w:t xml:space="preserve">Date: October 7, 2026</w:t>
      </w:r>
      <w:r>
        <w:br/>
      </w:r>
      <w:r>
        <w:t xml:space="preserve">Status: In Progress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Objective:</w:t>
      </w:r>
    </w:p>
    <w:p>
      <w:pPr>
        <w:pStyle w:val="BodyText"/>
      </w:pPr>
      <w:r>
        <w:t xml:space="preserve">Review transaction ledger entries for the Vinterberg Group and identify discrepancies requiring further investigation in the accounting database.</w:t>
      </w:r>
    </w:p>
    <w:p>
      <w:r>
        <w:pict>
          <v:rect style="width:0;height:1.5pt" o:hralign="center" o:hrstd="t" o:hr="t"/>
        </w:pict>
      </w:r>
    </w:p>
    <w:bookmarkStart w:id="20" w:name="transactions-under-review"/>
    <w:p>
      <w:pPr>
        <w:pStyle w:val="Heading2"/>
      </w:pPr>
      <w:r>
        <w:t xml:space="preserve">TRANSACTIONS UNDER REVIEW</w:t>
      </w:r>
    </w:p>
    <w:p>
      <w:pPr>
        <w:pStyle w:val="FirstParagraph"/>
      </w:pPr>
      <w:r>
        <w:t xml:space="preserve">Transaction IDs:</w:t>
      </w:r>
    </w:p>
    <w:p>
      <w:pPr>
        <w:pStyle w:val="BodyText"/>
      </w:pPr>
      <w:r>
        <w:t xml:space="preserve">• TXN-9901</w:t>
      </w:r>
      <w:r>
        <w:br/>
      </w:r>
      <w:r>
        <w:t xml:space="preserve">• TXN-9902</w:t>
      </w:r>
      <w:r>
        <w:br/>
      </w:r>
      <w:r>
        <w:t xml:space="preserve">• TXN-9903</w:t>
      </w:r>
    </w:p>
    <w:p>
      <w:r>
        <w:pict>
          <v:rect style="width:0;height:1.5pt" o:hralign="center" o:hrstd="t" o:hr="t"/>
        </w:pict>
      </w:r>
    </w:p>
    <w:bookmarkEnd w:id="20"/>
    <w:bookmarkStart w:id="24" w:name="audit-notes"/>
    <w:p>
      <w:pPr>
        <w:pStyle w:val="Heading2"/>
      </w:pPr>
      <w:r>
        <w:t xml:space="preserve">AUDIT NOTES</w:t>
      </w:r>
    </w:p>
    <w:bookmarkStart w:id="21" w:name="txn-9901"/>
    <w:p>
      <w:pPr>
        <w:pStyle w:val="Heading3"/>
      </w:pPr>
      <w:r>
        <w:t xml:space="preserve">TXN-9901</w:t>
      </w:r>
    </w:p>
    <w:p>
      <w:pPr>
        <w:pStyle w:val="FirstParagraph"/>
      </w:pPr>
      <w:r>
        <w:t xml:space="preserve">• Verify payment amount against invoice records.</w:t>
      </w:r>
      <w:r>
        <w:br/>
      </w:r>
      <w:r>
        <w:t xml:space="preserve">• Confirm transaction date consistency across systems.</w:t>
      </w:r>
      <w:r>
        <w:br/>
      </w:r>
      <w:r>
        <w:t xml:space="preserve">• Review approval history for anomalies.</w:t>
      </w:r>
    </w:p>
    <w:bookmarkEnd w:id="21"/>
    <w:bookmarkStart w:id="22" w:name="txn-9902"/>
    <w:p>
      <w:pPr>
        <w:pStyle w:val="Heading3"/>
      </w:pPr>
      <w:r>
        <w:t xml:space="preserve">TXN-9902</w:t>
      </w:r>
    </w:p>
    <w:p>
      <w:pPr>
        <w:pStyle w:val="FirstParagraph"/>
      </w:pPr>
      <w:r>
        <w:t xml:space="preserve">• Investigate missing reconciliation entries.</w:t>
      </w:r>
      <w:r>
        <w:br/>
      </w:r>
      <w:r>
        <w:t xml:space="preserve">• Compare ledger values with supporting documentation.</w:t>
      </w:r>
      <w:r>
        <w:br/>
      </w:r>
      <w:r>
        <w:t xml:space="preserve">• Validate vendor information.</w:t>
      </w:r>
    </w:p>
    <w:bookmarkEnd w:id="22"/>
    <w:bookmarkStart w:id="23" w:name="txn-9903"/>
    <w:p>
      <w:pPr>
        <w:pStyle w:val="Heading3"/>
      </w:pPr>
      <w:r>
        <w:t xml:space="preserve">TXN-9903</w:t>
      </w:r>
    </w:p>
    <w:p>
      <w:pPr>
        <w:pStyle w:val="FirstParagraph"/>
      </w:pPr>
      <w:r>
        <w:t xml:space="preserve">• Review status changes recorded in the database.</w:t>
      </w:r>
      <w:r>
        <w:br/>
      </w:r>
      <w:r>
        <w:t xml:space="preserve">• Check for duplicate entries.</w:t>
      </w:r>
      <w:r>
        <w:br/>
      </w:r>
      <w:r>
        <w:t xml:space="preserve">• Confirm whether adjustments were properly logged.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search-tasks"/>
    <w:p>
      <w:pPr>
        <w:pStyle w:val="Heading2"/>
      </w:pPr>
      <w:r>
        <w:t xml:space="preserve">RESEARCH TASKS</w:t>
      </w:r>
    </w:p>
    <w:p>
      <w:pPr>
        <w:numPr>
          <w:ilvl w:val="0"/>
          <w:numId w:val="1001"/>
        </w:numPr>
      </w:pPr>
      <w:r>
        <w:t xml:space="preserve">Query the accounting database for all three transaction IDs.</w:t>
      </w:r>
    </w:p>
    <w:p>
      <w:pPr>
        <w:numPr>
          <w:ilvl w:val="0"/>
          <w:numId w:val="1001"/>
        </w:numPr>
      </w:pPr>
      <w:r>
        <w:t xml:space="preserve">Retrieve associated invoice metadata.</w:t>
      </w:r>
    </w:p>
    <w:p>
      <w:pPr>
        <w:numPr>
          <w:ilvl w:val="0"/>
          <w:numId w:val="1001"/>
        </w:numPr>
      </w:pPr>
      <w:r>
        <w:t xml:space="preserve">Verify approval workflows and timestamps.</w:t>
      </w:r>
    </w:p>
    <w:p>
      <w:pPr>
        <w:numPr>
          <w:ilvl w:val="0"/>
          <w:numId w:val="1001"/>
        </w:numPr>
      </w:pPr>
      <w:r>
        <w:t xml:space="preserve">Compare transaction amounts with physical documentation.</w:t>
      </w:r>
    </w:p>
    <w:p>
      <w:pPr>
        <w:numPr>
          <w:ilvl w:val="0"/>
          <w:numId w:val="1001"/>
        </w:numPr>
      </w:pPr>
      <w:r>
        <w:t xml:space="preserve">Record any inconsistencies for escalation.</w:t>
      </w:r>
    </w:p>
    <w:p>
      <w:pPr>
        <w:numPr>
          <w:ilvl w:val="0"/>
          <w:numId w:val="1001"/>
        </w:numPr>
      </w:pPr>
      <w:r>
        <w:t xml:space="preserve">Update audit findings after database verification.</w:t>
      </w:r>
    </w:p>
    <w:p>
      <w:r>
        <w:pict>
          <v:rect style="width:0;height:1.5pt" o:hralign="center" o:hrstd="t" o:hr="t"/>
        </w:pict>
      </w:r>
    </w:p>
    <w:bookmarkEnd w:id="25"/>
    <w:bookmarkStart w:id="26" w:name="preliminary-observations"/>
    <w:p>
      <w:pPr>
        <w:pStyle w:val="Heading2"/>
      </w:pPr>
      <w:r>
        <w:t xml:space="preserve">PRELIMINARY OBSERVATIONS</w:t>
      </w:r>
    </w:p>
    <w:p>
      <w:pPr>
        <w:pStyle w:val="FirstParagraph"/>
      </w:pPr>
      <w:r>
        <w:t xml:space="preserve">Several transactions require additional validation before audit closure.</w:t>
      </w:r>
    </w:p>
    <w:p>
      <w:pPr>
        <w:pStyle w:val="BodyText"/>
      </w:pPr>
      <w:r>
        <w:t xml:space="preserve">No final conclusions have been reached at this stage.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2026-06-14T13:27:19Z</dcterms:created>
  <dcterms:modified xsi:type="dcterms:W3CDTF">2026-06-14T13:27:19Z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