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ERIKSSON &amp; HOLM</w:t>
        <w:br/>
        <w:t>Corporate Reimbursement Policy</w:t>
        <w:br/>
        <w:t>Version 2.0</w:t>
        <w:br/>
        <w:t>Effective Date: January 1, 2026</w:t>
        <w:br/>
        <w:t>Last Updated: September 15, 2026</w:t>
        <w:br/>
        <w:br/>
        <w:t>Purpose</w:t>
        <w:br/>
        <w:t>This policy defines reimbursement procedures and spending limits for employees undertaking business travel and corporate activities on behalf of Eriksson &amp; Holm.</w:t>
        <w:br/>
        <w:br/>
        <w:t>Employees are expected to submit accurate expense reports and comply with all reimbursement requirements described in this document.</w:t>
        <w:br/>
        <w:br/>
        <w:t>SECTION 1: GENERAL POLICY</w:t>
        <w:br/>
        <w:t>1.1 Eligibility</w:t>
        <w:br/>
        <w:t>All full-time and contract employees approved for business travel are eligible for reimbursement under this policy.</w:t>
        <w:br/>
        <w:br/>
        <w:t>1.2 Submission Requirements</w:t>
        <w:br/>
        <w:t>Employees must submit expense reports within 30 calendar days of the incurred expense.</w:t>
        <w:br/>
        <w:br/>
        <w:t>1.3 Required Documentation</w:t>
        <w:br/>
        <w:t>Reimbursement claims must include original receipts, invoices, and supporting documentation.</w:t>
        <w:br/>
        <w:br/>
        <w:t>1.4 Currency Handling</w:t>
        <w:br/>
        <w:t>Foreign currency expenses shall be converted using the official exchange rate applicable on the transaction date.</w:t>
        <w:br/>
        <w:br/>
        <w:t>1.5 Compliance</w:t>
        <w:br/>
        <w:t>Expenses violating company guidelines may be rejected or partially reimbursed.</w:t>
        <w:br/>
        <w:br/>
        <w:t>SECTION 1.6 Approval Workflow</w:t>
        <w:br/>
        <w:t>Expenses below 400 SEK may be automatically approved.</w:t>
        <w:br/>
        <w:t>Expenses above 400 SEK require management approval prior to reimbursement.</w:t>
        <w:br/>
        <w:t>Repeated policy violations may trigger additional review procedures.</w:t>
        <w:br/>
        <w:br/>
      </w:r>
    </w:p>
    <w:p>
      <w:r>
        <w:br w:type="page"/>
      </w:r>
    </w:p>
    <w:p>
      <w:r>
        <w:rPr>
          <w:sz w:val="22"/>
        </w:rPr>
        <w:t>SECTION 2: PROFESSIONAL TRAVEL REIMBURSEMENT</w:t>
        <w:br/>
        <w:t>2.1 Travel Expense Limits</w:t>
        <w:br/>
        <w:t>Standard Lodging Allowance: Maximum 1,500 SEK per night.</w:t>
        <w:br/>
        <w:t>Ground Transport Cap: Maximum 600 SEK per day.</w:t>
        <w:br/>
        <w:t>Taxi Reimbursement permitted only when public transportation is unavailable.</w:t>
        <w:br/>
        <w:t>Airfare: Economy class travel required unless executive approval obtained.</w:t>
        <w:br/>
        <w:t>VAT Handling: standard rate of 25%.</w:t>
        <w:br/>
        <w:t>Meal Allowance: 200 SEK.</w:t>
        <w:br/>
        <w:t>Employees exceeding approved limits may receive partial reimbursement.</w:t>
        <w:br/>
        <w:br/>
        <w:t>2.2 International Travel</w:t>
        <w:br/>
        <w:t>International travel requires prior written approval.</w:t>
        <w:br/>
        <w:t>Travel itineraries must be submitted seven business days before departure.</w:t>
        <w:br/>
        <w:br/>
      </w:r>
    </w:p>
    <w:p>
      <w:r>
        <w:br w:type="page"/>
      </w:r>
    </w:p>
    <w:p>
      <w:r>
        <w:rPr>
          <w:sz w:val="22"/>
        </w:rPr>
        <w:t>SECTION 3: EXPENSE AUDIT AND COMPLIANCE</w:t>
        <w:br/>
        <w:t>3.1 Audit Procedures</w:t>
        <w:br/>
        <w:t>Expense reports may be audited periodically.</w:t>
        <w:br/>
        <w:t>Fraudulent claims may result in disciplinary action.</w:t>
        <w:br/>
        <w:br/>
        <w:t>3.2 Exceptions</w:t>
        <w:br/>
        <w:t>Exceptional business circumstances may justify reimbursement beyond stated limits.</w:t>
        <w:br/>
        <w:br/>
        <w:t>3.3 Record Retention</w:t>
        <w:br/>
        <w:t>Expense documentation retained for five years.</w:t>
        <w:br/>
        <w:br/>
        <w:t>SECTION 4: POLICY ACKNOWLEDGEMENT</w:t>
        <w:br/>
        <w:t>Employees acknowledge understanding and acceptance of this policy.</w:t>
        <w:br/>
        <w:t>Questions should be directed to Corporate Finance Department, Eriksson &amp; Holm, finance@erikssonholm.se.</w:t>
        <w:br/>
        <w:br/>
        <w:t>END OF DOCUMENT</w:t>
        <w:br/>
        <w:t>Version 2.0</w:t>
        <w:br/>
        <w:t>Confidential Internal Use Only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sz w:val="22"/>
      </w:rPr>
      <w:t>Eriksson &amp; Holm Corporate Reimbursement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