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SELinux1.</w:t>
      </w:r>
      <w:r>
        <w:t xml:space="preserve"> </w:t>
      </w:r>
      <w:r>
        <w:t xml:space="preserve">Проверить работу SELinx на практике совместно с веб-сервером Apache.</w:t>
      </w:r>
    </w:p>
    <w:bookmarkEnd w:id="20"/>
    <w:bookmarkStart w:id="5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После того как открыли терминал, перешли в супер пользователя, проверили статус SELinux,затем статус Apache</w:t>
      </w:r>
    </w:p>
    <w:p>
      <w:pPr>
        <w:pStyle w:val="CaptionedFigure"/>
      </w:pPr>
      <w:r>
        <w:drawing>
          <wp:inline>
            <wp:extent cx="3733800" cy="3605896"/>
            <wp:effectExtent b="0" l="0" r="0" t="0"/>
            <wp:docPr descr="Проверк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5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</w:t>
      </w:r>
    </w:p>
    <w:p>
      <w:pPr>
        <w:pStyle w:val="BodyText"/>
      </w:pPr>
      <w:r>
        <w:t xml:space="preserve">Далее просмотрим контекста безопасноти процессов Apache</w:t>
      </w:r>
    </w:p>
    <w:p>
      <w:pPr>
        <w:pStyle w:val="CaptionedFigure"/>
      </w:pPr>
      <w:r>
        <w:drawing>
          <wp:inline>
            <wp:extent cx="3733800" cy="1266740"/>
            <wp:effectExtent b="0" l="0" r="0" t="0"/>
            <wp:docPr descr="Просмотр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6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Просмотр</w:t>
      </w:r>
    </w:p>
    <w:p>
      <w:pPr>
        <w:pStyle w:val="BodyText"/>
      </w:pPr>
      <w:r>
        <w:t xml:space="preserve">Затем просмотрим переключатель SELinux для Apache</w:t>
      </w:r>
    </w:p>
    <w:p>
      <w:pPr>
        <w:pStyle w:val="CaptionedFigure"/>
      </w:pPr>
      <w:r>
        <w:drawing>
          <wp:inline>
            <wp:extent cx="3733800" cy="2624851"/>
            <wp:effectExtent b="0" l="0" r="0" t="0"/>
            <wp:docPr descr="Просмотр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4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Просмотр</w:t>
      </w:r>
    </w:p>
    <w:p>
      <w:pPr>
        <w:pStyle w:val="BodyText"/>
      </w:pPr>
      <w:r>
        <w:t xml:space="preserve">Далее просмотрим статистику по политике SELinux, типы файлов /var/www, типы файлов /var/www/html,</w:t>
      </w:r>
    </w:p>
    <w:p>
      <w:pPr>
        <w:pStyle w:val="CaptionedFigure"/>
      </w:pPr>
      <w:r>
        <w:drawing>
          <wp:inline>
            <wp:extent cx="3733800" cy="3719271"/>
            <wp:effectExtent b="0" l="0" r="0" t="0"/>
            <wp:docPr descr="Просмотр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19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</w:t>
      </w:r>
    </w:p>
    <w:p>
      <w:pPr>
        <w:pStyle w:val="BodyText"/>
      </w:pPr>
      <w:r>
        <w:t xml:space="preserve">После чего создадим текстовый файл HTML-формата, проверим контекст созданного файла, круг пользователей, также изменим контекст файла и проверим ошибки доступа</w:t>
      </w:r>
    </w:p>
    <w:p>
      <w:pPr>
        <w:pStyle w:val="CaptionedFigure"/>
      </w:pPr>
      <w:r>
        <w:drawing>
          <wp:inline>
            <wp:extent cx="3733800" cy="975934"/>
            <wp:effectExtent b="0" l="0" r="0" t="0"/>
            <wp:docPr descr="Создание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5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</w:t>
      </w:r>
    </w:p>
    <w:p>
      <w:pPr>
        <w:pStyle w:val="BodyText"/>
      </w:pPr>
      <w:r>
        <w:t xml:space="preserve">Далее обратимся к файлу через веб-сервер и изучим справку</w:t>
      </w:r>
    </w:p>
    <w:p>
      <w:pPr>
        <w:pStyle w:val="CaptionedFigure"/>
      </w:pPr>
      <w:r>
        <w:drawing>
          <wp:inline>
            <wp:extent cx="3733800" cy="794160"/>
            <wp:effectExtent b="0" l="0" r="0" t="0"/>
            <wp:docPr descr="Обращение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4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Обращение</w:t>
      </w:r>
    </w:p>
    <w:p>
      <w:pPr>
        <w:pStyle w:val="BodyText"/>
      </w:pPr>
      <w:r>
        <w:t xml:space="preserve">После чего просмотрим логи для анализа ошибки</w:t>
      </w:r>
    </w:p>
    <w:p>
      <w:pPr>
        <w:pStyle w:val="CaptionedFigure"/>
      </w:pPr>
      <w:r>
        <w:drawing>
          <wp:inline>
            <wp:extent cx="3733800" cy="2117457"/>
            <wp:effectExtent b="0" l="0" r="0" t="0"/>
            <wp:docPr descr="Просмотр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7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Просмотр</w:t>
      </w:r>
    </w:p>
    <w:p>
      <w:pPr>
        <w:pStyle w:val="BodyText"/>
      </w:pPr>
      <w:r>
        <w:t xml:space="preserve">Затем изменим порта Apache на 81</w:t>
      </w:r>
    </w:p>
    <w:p>
      <w:pPr>
        <w:pStyle w:val="CaptionedFigure"/>
      </w:pPr>
      <w:r>
        <w:drawing>
          <wp:inline>
            <wp:extent cx="3733800" cy="1275521"/>
            <wp:effectExtent b="0" l="0" r="0" t="0"/>
            <wp:docPr descr="Изменение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5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Изменение</w:t>
      </w:r>
    </w:p>
    <w:p>
      <w:pPr>
        <w:pStyle w:val="BodyText"/>
      </w:pPr>
      <w:r>
        <w:t xml:space="preserve">После чего просмотрим файлы error_log, access_log и audit.log и увидим что в файле audit появились записи</w:t>
      </w:r>
    </w:p>
    <w:p>
      <w:pPr>
        <w:pStyle w:val="CaptionedFigure"/>
      </w:pPr>
      <w:r>
        <w:drawing>
          <wp:inline>
            <wp:extent cx="3733800" cy="934994"/>
            <wp:effectExtent b="0" l="0" r="0" t="0"/>
            <wp:docPr descr="Просмотр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4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Просмотр</w:t>
      </w:r>
    </w:p>
    <w:p>
      <w:pPr>
        <w:pStyle w:val="BodyText"/>
      </w:pPr>
      <w:r>
        <w:t xml:space="preserve">Затем добавим порт 81, затем проверим появился ли он или нет и пробуем запустить apache или нет, после чего вернем контекст httpd_sys_cоntent__t, затем возвращаем обратно конфигурацию файлу apache 80 и удаляем порт 81</w:t>
      </w:r>
    </w:p>
    <w:p>
      <w:pPr>
        <w:pStyle w:val="CaptionedFigure"/>
      </w:pPr>
      <w:r>
        <w:drawing>
          <wp:inline>
            <wp:extent cx="3733800" cy="2206114"/>
            <wp:effectExtent b="0" l="0" r="0" t="0"/>
            <wp:docPr descr="Добавление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6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Добавление</w:t>
      </w:r>
    </w:p>
    <w:p>
      <w:pPr>
        <w:pStyle w:val="BodyText"/>
      </w:pPr>
      <w:r>
        <w:t xml:space="preserve">Затем удаляем файл</w:t>
      </w:r>
    </w:p>
    <w:p>
      <w:pPr>
        <w:pStyle w:val="CaptionedFigure"/>
      </w:pPr>
      <w:r>
        <w:drawing>
          <wp:inline>
            <wp:extent cx="3733800" cy="272310"/>
            <wp:effectExtent b="0" l="0" r="0" t="0"/>
            <wp:docPr descr="Удаление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Удаление</w:t>
      </w:r>
    </w:p>
    <w:bookmarkEnd w:id="54"/>
    <w:bookmarkStart w:id="5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данной работы были успешно достигнуты поставленные цели: развитие навыков администрирования ОС Linux и получение первичного практического знакомства с мандатной системой контроля доступа SELinux.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</dc:title>
  <dc:creator>Калашникова Дарья</dc:creator>
  <dc:language>ru-RU</dc:language>
  <cp:keywords/>
  <dcterms:created xsi:type="dcterms:W3CDTF">2026-05-01T17:56:59Z</dcterms:created>
  <dcterms:modified xsi:type="dcterms:W3CDTF">2026-05-01T17:56:59Z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№6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