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терминал, и перейдем в суперпользователя, и откроем питон</w:t>
      </w:r>
    </w:p>
    <w:p>
      <w:pPr>
        <w:pStyle w:val="CaptionedFigure"/>
      </w:pPr>
      <w:r>
        <w:drawing>
          <wp:inline>
            <wp:extent cx="3733800" cy="623137"/>
            <wp:effectExtent b="0" l="0" r="0" t="0"/>
            <wp:docPr descr="Суперпользователь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Суперпользователь</w:t>
      </w:r>
    </w:p>
    <w:p>
      <w:pPr>
        <w:pStyle w:val="BodyText"/>
      </w:pPr>
      <w:r>
        <w:t xml:space="preserve">После чего пропишем команду для нахождения ключа, данная команда загружает заданный шифротекст, преобразует целевую фразу в байты и с помощью операции XOR вычисляет ключ, который превращает данный шифротекст в фразу С Новым Годом</w:t>
      </w:r>
    </w:p>
    <w:p>
      <w:pPr>
        <w:pStyle w:val="CaptionedFigure"/>
      </w:pPr>
      <w:r>
        <w:drawing>
          <wp:inline>
            <wp:extent cx="3733800" cy="570292"/>
            <wp:effectExtent b="0" l="0" r="0" t="0"/>
            <wp:docPr descr="Нахождение ключ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Нахождение ключа</w:t>
      </w:r>
    </w:p>
    <w:p>
      <w:pPr>
        <w:pStyle w:val="BodyText"/>
      </w:pPr>
      <w:r>
        <w:t xml:space="preserve">Затем пропишем команду которая загружает шифротекст и полученный ключ, выполняет XOR между ними и выводит расшифрованный открытый текст, Подтверждает, что при использовании найденного ключа расшифровывается именно нужная фраза</w:t>
      </w:r>
    </w:p>
    <w:p>
      <w:pPr>
        <w:pStyle w:val="CaptionedFigure"/>
      </w:pPr>
      <w:r>
        <w:drawing>
          <wp:inline>
            <wp:extent cx="3733800" cy="371690"/>
            <wp:effectExtent b="0" l="0" r="0" t="0"/>
            <wp:docPr descr="Загруз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Загрузка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освоила на практике применение режима однократного гаммирования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2026-05-14T18:13:15Z</dcterms:created>
  <dcterms:modified xsi:type="dcterms:W3CDTF">2026-05-14T18:13:15Z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