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GNS3-all-in-one, GNS3 VM, проверить корректность запуска.</w:t>
      </w:r>
    </w:p>
    <w:p>
      <w:pPr>
        <w:numPr>
          <w:ilvl w:val="0"/>
          <w:numId w:val="1001"/>
        </w:numPr>
        <w:pStyle w:val="Compact"/>
      </w:pPr>
      <w:r>
        <w:t xml:space="preserve">Импортировать в GNS3 образ маршрутизатора FRR.</w:t>
      </w:r>
    </w:p>
    <w:p>
      <w:pPr>
        <w:numPr>
          <w:ilvl w:val="0"/>
          <w:numId w:val="1001"/>
        </w:numPr>
        <w:pStyle w:val="Compact"/>
      </w:pPr>
      <w:r>
        <w:t xml:space="preserve">Импортировать в GNS3 образ маршрутизатора VyOS.</w:t>
      </w:r>
    </w:p>
    <w:p>
      <w:pPr>
        <w:numPr>
          <w:ilvl w:val="0"/>
          <w:numId w:val="1001"/>
        </w:numPr>
        <w:pStyle w:val="Compact"/>
      </w:pPr>
      <w:r>
        <w:t xml:space="preserve">Проверить корректность работы маршрутизаторов FRR и VyOS.</w:t>
      </w:r>
    </w:p>
    <w:bookmarkEnd w:id="21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VirtualBox и через меню «Файл → Импорт конфигураций» указываем заранее скачанный образ GNS3 VM (рис. 1).</w:t>
      </w:r>
    </w:p>
    <w:p>
      <w:pPr>
        <w:pStyle w:val="CaptionedFigure"/>
      </w:pPr>
      <w:r>
        <w:drawing>
          <wp:inline>
            <wp:extent cx="3733800" cy="1636108"/>
            <wp:effectExtent b="0" l="0" r="0" t="0"/>
            <wp:docPr descr="Импорт конфигурации GNS3 VM в VirtualBox" title="" id="23" name="Picture"/>
            <a:graphic>
              <a:graphicData uri="http://schemas.openxmlformats.org/drawingml/2006/picture">
                <pic:pic>
                  <pic:nvPicPr>
                    <pic:cNvPr descr="image/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6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Импорт конфигурации GNS3 VM в VirtualBox</w:t>
      </w:r>
    </w:p>
    <w:p>
      <w:pPr>
        <w:pStyle w:val="BodyText"/>
      </w:pPr>
      <w:r>
        <w:t xml:space="preserve">Уточняем параметры виртуальной машины GNS3 VM: выделяем 4096 МБ оперативной памяти для стабильной работы серверной части (рис. 2).</w:t>
      </w:r>
    </w:p>
    <w:p>
      <w:pPr>
        <w:pStyle w:val="CaptionedFigure"/>
      </w:pPr>
      <w:r>
        <w:drawing>
          <wp:inline>
            <wp:extent cx="3733800" cy="1388740"/>
            <wp:effectExtent b="0" l="0" r="0" t="0"/>
            <wp:docPr descr="Настройка объёма оперативной памяти GNS3 VM" title="" id="26" name="Picture"/>
            <a:graphic>
              <a:graphicData uri="http://schemas.openxmlformats.org/drawingml/2006/picture">
                <pic:pic>
                  <pic:nvPicPr>
                    <pic:cNvPr descr="image/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объёма оперативной памяти GNS3 VM</w:t>
      </w:r>
    </w:p>
    <w:p>
      <w:pPr>
        <w:pStyle w:val="BodyText"/>
      </w:pPr>
      <w:r>
        <w:t xml:space="preserve">Включаем вложенную виртуализацию — ставим галочку «Включить Nested VT-x/AMD-V», чтобы GNS3 VM могла запускать вложенные виртуальные устройства (рис. 3).</w:t>
      </w:r>
    </w:p>
    <w:p>
      <w:pPr>
        <w:pStyle w:val="CaptionedFigure"/>
      </w:pPr>
      <w:r>
        <w:drawing>
          <wp:inline>
            <wp:extent cx="3733800" cy="1580792"/>
            <wp:effectExtent b="0" l="0" r="0" t="0"/>
            <wp:docPr descr="Включение вложенной виртуализации Nested VT-x/AMD-V" title="" id="29" name="Picture"/>
            <a:graphic>
              <a:graphicData uri="http://schemas.openxmlformats.org/drawingml/2006/picture">
                <pic:pic>
                  <pic:nvPicPr>
                    <pic:cNvPr descr="image/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Включение вложенной виртуализации Nested VT-x/AMD-V</w:t>
      </w:r>
    </w:p>
    <w:p>
      <w:pPr>
        <w:pStyle w:val="BodyText"/>
      </w:pPr>
      <w:r>
        <w:t xml:space="preserve">Проверяем настройки сетевого адаптера и сохраняем изменения (рис. 4).</w:t>
      </w:r>
    </w:p>
    <w:p>
      <w:pPr>
        <w:pStyle w:val="CaptionedFigure"/>
      </w:pPr>
      <w:r>
        <w:drawing>
          <wp:inline>
            <wp:extent cx="3733800" cy="1803649"/>
            <wp:effectExtent b="0" l="0" r="0" t="0"/>
            <wp:docPr descr="Проверка сетевого адаптера GNS3 VM" title="" id="32" name="Picture"/>
            <a:graphic>
              <a:graphicData uri="http://schemas.openxmlformats.org/drawingml/2006/picture">
                <pic:pic>
                  <pic:nvPicPr>
                    <pic:cNvPr descr="image/0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3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сетевого адаптера GNS3 VM</w:t>
      </w:r>
    </w:p>
    <w:p>
      <w:pPr>
        <w:pStyle w:val="BodyText"/>
      </w:pPr>
      <w:r>
        <w:t xml:space="preserve">Запускаем виртуальную машину GNS3 VM и дожидаемся её полной загрузки (рис. 5).</w:t>
      </w:r>
    </w:p>
    <w:p>
      <w:pPr>
        <w:pStyle w:val="CaptionedFigure"/>
      </w:pPr>
      <w:r>
        <w:drawing>
          <wp:inline>
            <wp:extent cx="3733800" cy="2689418"/>
            <wp:effectExtent b="0" l="0" r="0" t="0"/>
            <wp:docPr descr="Запуск виртуальной машины GNS3 VM" title="" id="35" name="Picture"/>
            <a:graphic>
              <a:graphicData uri="http://schemas.openxmlformats.org/drawingml/2006/picture">
                <pic:pic>
                  <pic:nvPicPr>
                    <pic:cNvPr descr="image/0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виртуальной машины GNS3 VM</w:t>
      </w:r>
    </w:p>
    <w:p>
      <w:pPr>
        <w:pStyle w:val="BodyText"/>
      </w:pPr>
      <w:r>
        <w:t xml:space="preserve">При первом запуске приложения GNS3 открывается мастер настройки, в котором выбираем вариант «Run appliance in a virtual machine» (рис. 6).</w:t>
      </w:r>
    </w:p>
    <w:p>
      <w:pPr>
        <w:pStyle w:val="CaptionedFigure"/>
      </w:pPr>
      <w:r>
        <w:drawing>
          <wp:inline>
            <wp:extent cx="3733800" cy="1051523"/>
            <wp:effectExtent b="0" l="0" r="0" t="0"/>
            <wp:docPr descr="Мастер настройки GNS3: выбор режима работы" title="" id="38" name="Picture"/>
            <a:graphic>
              <a:graphicData uri="http://schemas.openxmlformats.org/drawingml/2006/picture">
                <pic:pic>
                  <pic:nvPicPr>
                    <pic:cNvPr descr="image/0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1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Мастер настройки GNS3: выбор режима работы</w:t>
      </w:r>
    </w:p>
    <w:p>
      <w:pPr>
        <w:pStyle w:val="BodyText"/>
      </w:pPr>
      <w:r>
        <w:t xml:space="preserve">Запускаем систему виртуализации VirtualBox, затем GNS3 VM, и уже после этого — приложение GNS3 из основной операционной системы (рис. 7).</w:t>
      </w:r>
    </w:p>
    <w:p>
      <w:pPr>
        <w:pStyle w:val="CaptionedFigure"/>
      </w:pPr>
      <w:r>
        <w:drawing>
          <wp:inline>
            <wp:extent cx="3733800" cy="1342489"/>
            <wp:effectExtent b="0" l="0" r="0" t="0"/>
            <wp:docPr descr="Совместный запуск VirtualBox, GNS3 VM и клиента GNS3" title="" id="41" name="Picture"/>
            <a:graphic>
              <a:graphicData uri="http://schemas.openxmlformats.org/drawingml/2006/picture">
                <pic:pic>
                  <pic:nvPicPr>
                    <pic:cNvPr descr="image/0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2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Совместный запуск VirtualBox, GNS3 VM и клиента GNS3</w:t>
      </w:r>
    </w:p>
    <w:p>
      <w:pPr>
        <w:pStyle w:val="BodyText"/>
      </w:pPr>
      <w:r>
        <w:t xml:space="preserve">В окне мастера указываем рекомендуемое значение — установку образа с GNS3-сервера (рис. 8).</w:t>
      </w:r>
    </w:p>
    <w:p>
      <w:pPr>
        <w:pStyle w:val="CaptionedFigure"/>
      </w:pPr>
      <w:r>
        <w:drawing>
          <wp:inline>
            <wp:extent cx="3733800" cy="1340338"/>
            <wp:effectExtent b="0" l="0" r="0" t="0"/>
            <wp:docPr descr="Выбор источника образа: установка с GNS3-сервера" title="" id="44" name="Picture"/>
            <a:graphic>
              <a:graphicData uri="http://schemas.openxmlformats.org/drawingml/2006/picture">
                <pic:pic>
                  <pic:nvPicPr>
                    <pic:cNvPr descr="image/0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0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Выбор источника образа: установка с GNS3-сервера</w:t>
      </w:r>
    </w:p>
    <w:p>
      <w:pPr>
        <w:pStyle w:val="BodyText"/>
      </w:pPr>
      <w:r>
        <w:t xml:space="preserve">В следующем окне выбираем категорию Routers и образ FRR, после чего запускаем установку (рис. 9).</w:t>
      </w:r>
    </w:p>
    <w:p>
      <w:pPr>
        <w:pStyle w:val="CaptionedFigure"/>
      </w:pPr>
      <w:r>
        <w:drawing>
          <wp:inline>
            <wp:extent cx="3733800" cy="1863955"/>
            <wp:effectExtent b="0" l="0" r="0" t="0"/>
            <wp:docPr descr="Выбор образа маршрутизатора FRR в каталоге appliances" title="" id="47" name="Picture"/>
            <a:graphic>
              <a:graphicData uri="http://schemas.openxmlformats.org/drawingml/2006/picture">
                <pic:pic>
                  <pic:nvPicPr>
                    <pic:cNvPr descr="image/0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Выбор образа маршрутизатора FRR в каталоге appliances</w:t>
      </w:r>
    </w:p>
    <w:p>
      <w:pPr>
        <w:pStyle w:val="BodyText"/>
      </w:pPr>
      <w:r>
        <w:t xml:space="preserve">После завершения скачивания импортируем образ FRR и завершаем установку (рис. 10).</w:t>
      </w:r>
    </w:p>
    <w:p>
      <w:pPr>
        <w:pStyle w:val="CaptionedFigure"/>
      </w:pPr>
      <w:r>
        <w:drawing>
          <wp:inline>
            <wp:extent cx="3733800" cy="2354456"/>
            <wp:effectExtent b="0" l="0" r="0" t="0"/>
            <wp:docPr descr="Завершение импорта образа FRR" title="" id="50" name="Picture"/>
            <a:graphic>
              <a:graphicData uri="http://schemas.openxmlformats.org/drawingml/2006/picture">
                <pic:pic>
                  <pic:nvPicPr>
                    <pic:cNvPr descr="image/0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4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Завершение импорта образа FRR</w:t>
      </w:r>
    </w:p>
    <w:p>
      <w:pPr>
        <w:pStyle w:val="BodyText"/>
      </w:pPr>
      <w:r>
        <w:t xml:space="preserve">Настраиваем шаблон FRR: указываем параметры QEMU, объём памяти и способ доступа к консоли (рис. 11).</w:t>
      </w:r>
    </w:p>
    <w:p>
      <w:pPr>
        <w:pStyle w:val="CaptionedFigure"/>
      </w:pPr>
      <w:r>
        <w:drawing>
          <wp:inline>
            <wp:extent cx="3733800" cy="3221139"/>
            <wp:effectExtent b="0" l="0" r="0" t="0"/>
            <wp:docPr descr="Настройка шаблона FRR" title="" id="53" name="Picture"/>
            <a:graphic>
              <a:graphicData uri="http://schemas.openxmlformats.org/drawingml/2006/picture">
                <pic:pic>
                  <pic:nvPicPr>
                    <pic:cNvPr descr="image/0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шаблона FRR</w:t>
      </w:r>
    </w:p>
    <w:p>
      <w:pPr>
        <w:pStyle w:val="BodyText"/>
      </w:pPr>
      <w:r>
        <w:t xml:space="preserve">Переходим к добавлению образа маршрутизатора VyOS — скачиваем его с GitHub (рис. 12).</w:t>
      </w:r>
    </w:p>
    <w:p>
      <w:pPr>
        <w:pStyle w:val="CaptionedFigure"/>
      </w:pPr>
      <w:r>
        <w:drawing>
          <wp:inline>
            <wp:extent cx="3733800" cy="368121"/>
            <wp:effectExtent b="0" l="0" r="0" t="0"/>
            <wp:docPr descr="Загрузка образа VyOS с GitHub" title="" id="56" name="Picture"/>
            <a:graphic>
              <a:graphicData uri="http://schemas.openxmlformats.org/drawingml/2006/picture">
                <pic:pic>
                  <pic:nvPicPr>
                    <pic:cNvPr descr="image/0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Загрузка образа VyOS с GitHub</w:t>
      </w:r>
    </w:p>
    <w:p>
      <w:pPr>
        <w:pStyle w:val="BodyText"/>
      </w:pPr>
      <w:r>
        <w:t xml:space="preserve">Как и в случае с FRR, на левой панели GNS3 открываем список маршрутизаторов и нажимаем «+ New template» (рис. 13).</w:t>
      </w:r>
    </w:p>
    <w:p>
      <w:pPr>
        <w:pStyle w:val="CaptionedFigure"/>
      </w:pPr>
      <w:r>
        <w:drawing>
          <wp:inline>
            <wp:extent cx="3349591" cy="1617044"/>
            <wp:effectExtent b="0" l="0" r="0" t="0"/>
            <wp:docPr descr="Открытие мастера создания шаблона VyOS" title="" id="59" name="Picture"/>
            <a:graphic>
              <a:graphicData uri="http://schemas.openxmlformats.org/drawingml/2006/picture">
                <pic:pic>
                  <pic:nvPicPr>
                    <pic:cNvPr descr="image/0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591" cy="161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Открытие мастера создания шаблона VyOS</w:t>
      </w:r>
    </w:p>
    <w:p>
      <w:pPr>
        <w:pStyle w:val="BodyText"/>
      </w:pPr>
      <w:r>
        <w:t xml:space="preserve">В следующем окне выбираем категорию Routers и образ VyOS, нажимаем Install и настраиваем шаблон (рис. 14).</w:t>
      </w:r>
    </w:p>
    <w:p>
      <w:pPr>
        <w:pStyle w:val="CaptionedFigure"/>
      </w:pPr>
      <w:r>
        <w:drawing>
          <wp:inline>
            <wp:extent cx="3733800" cy="359778"/>
            <wp:effectExtent b="0" l="0" r="0" t="0"/>
            <wp:docPr descr="Выбор и установка образа VyOS" title="" id="62" name="Picture"/>
            <a:graphic>
              <a:graphicData uri="http://schemas.openxmlformats.org/drawingml/2006/picture">
                <pic:pic>
                  <pic:nvPicPr>
                    <pic:cNvPr descr="image/0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Выбор и установка образа VyOS</w:t>
      </w:r>
    </w:p>
    <w:p>
      <w:pPr>
        <w:pStyle w:val="BodyText"/>
      </w:pPr>
      <w:r>
        <w:t xml:space="preserve">Создаём новый проект и добавляем в него оба маршрутизатора — FRR и VyOS (рис. 15).</w:t>
      </w:r>
    </w:p>
    <w:p>
      <w:pPr>
        <w:pStyle w:val="CaptionedFigure"/>
      </w:pPr>
      <w:r>
        <w:drawing>
          <wp:inline>
            <wp:extent cx="3733800" cy="3229851"/>
            <wp:effectExtent b="0" l="0" r="0" t="0"/>
            <wp:docPr descr="Создание проекта с маршрутизаторами FRR и VyOS" title="" id="65" name="Picture"/>
            <a:graphic>
              <a:graphicData uri="http://schemas.openxmlformats.org/drawingml/2006/picture">
                <pic:pic>
                  <pic:nvPicPr>
                    <pic:cNvPr descr="image/0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9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Создание проекта с маршрутизаторами FRR и VyOS</w:t>
      </w:r>
    </w:p>
    <w:p>
      <w:pPr>
        <w:pStyle w:val="BodyText"/>
      </w:pPr>
      <w:r>
        <w:t xml:space="preserve">Проверяем работоспособность каждого маршрутизатора: запускаем устройства и открываем их консоли (рис. 16, 17).</w:t>
      </w:r>
    </w:p>
    <w:p>
      <w:pPr>
        <w:pStyle w:val="CaptionedFigure"/>
      </w:pPr>
      <w:r>
        <w:drawing>
          <wp:inline>
            <wp:extent cx="3733800" cy="1674314"/>
            <wp:effectExtent b="0" l="0" r="0" t="0"/>
            <wp:docPr descr="Проверка работы маршрутизатора FRR" title="" id="68" name="Picture"/>
            <a:graphic>
              <a:graphicData uri="http://schemas.openxmlformats.org/drawingml/2006/picture">
                <pic:pic>
                  <pic:nvPicPr>
                    <pic:cNvPr descr="image/0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4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работы маршрутизатора FRR</w:t>
      </w:r>
    </w:p>
    <w:p>
      <w:pPr>
        <w:pStyle w:val="CaptionedFigure"/>
      </w:pPr>
      <w:r>
        <w:drawing>
          <wp:inline>
            <wp:extent cx="3733800" cy="2507303"/>
            <wp:effectExtent b="0" l="0" r="0" t="0"/>
            <wp:docPr descr="Проверка работы маршрутизатора VyOS" title="" id="71" name="Picture"/>
            <a:graphic>
              <a:graphicData uri="http://schemas.openxmlformats.org/drawingml/2006/picture">
                <pic:pic>
                  <pic:nvPicPr>
                    <pic:cNvPr descr="image/0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7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работы маршрутизатора VyOS</w:t>
      </w:r>
    </w:p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установлены GNS3-all-in-one и GNS3 VM, настроено их взаимодействие через VirtualBox. Импортированы и проверены шаблоны маршрутизаторов FRR и VyOS. Цель работы достигнута.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Калашникова Дарья</dc:creator>
  <dc:language>ru-RU</dc:language>
  <cp:keywords/>
  <dcterms:created xsi:type="dcterms:W3CDTF">2026-09-12T17:34:15Z</dcterms:created>
  <dcterms:modified xsi:type="dcterms:W3CDTF">2026-09-12T17:34:15Z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