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2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Овладеть приёмами построения простейших сетей на коммутаторе и маршрутизаторе, а также разобрать поведение Ethernet, ARP и ICMP с помощью Wireshark.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Собрать в GNS3 простейший локальный сегмент из двух узлов VPCS и одного Ethernet-коммутатора.</w:t>
      </w:r>
    </w:p>
    <w:p>
      <w:pPr>
        <w:numPr>
          <w:ilvl w:val="0"/>
          <w:numId w:val="1001"/>
        </w:numPr>
        <w:pStyle w:val="Compact"/>
      </w:pPr>
      <w:r>
        <w:t xml:space="preserve">Настроить IP-адреса на PC1 и PC2 и проверить связь командой ping.</w:t>
      </w:r>
    </w:p>
    <w:p>
      <w:pPr>
        <w:numPr>
          <w:ilvl w:val="0"/>
          <w:numId w:val="1001"/>
        </w:numPr>
        <w:pStyle w:val="Compact"/>
      </w:pPr>
      <w:r>
        <w:t xml:space="preserve">Включить захват пакетов на линии PC1 — коммутатор.</w:t>
      </w:r>
    </w:p>
    <w:p>
      <w:pPr>
        <w:numPr>
          <w:ilvl w:val="0"/>
          <w:numId w:val="1001"/>
        </w:numPr>
        <w:pStyle w:val="Compact"/>
      </w:pPr>
      <w:r>
        <w:t xml:space="preserve">Разобрать в Wireshark широковещательные ARP-запросы, ICMP Echo Request/Reply и пару ARP Request/Reply.</w:t>
      </w:r>
    </w:p>
    <w:p>
      <w:pPr>
        <w:numPr>
          <w:ilvl w:val="0"/>
          <w:numId w:val="1001"/>
        </w:numPr>
        <w:pStyle w:val="Compact"/>
      </w:pPr>
      <w:r>
        <w:t xml:space="preserve">Заменить второй VPCS программным маршрутизатором FRR и настроить интерфейс eth0.</w:t>
      </w:r>
    </w:p>
    <w:p>
      <w:pPr>
        <w:numPr>
          <w:ilvl w:val="0"/>
          <w:numId w:val="1001"/>
        </w:numPr>
        <w:pStyle w:val="Compact"/>
      </w:pPr>
      <w:r>
        <w:t xml:space="preserve">Проверить доступность шлюза с PC1 и проанализировать ICMP-трафик на линии к FRR.</w:t>
      </w:r>
    </w:p>
    <w:p>
      <w:pPr>
        <w:numPr>
          <w:ilvl w:val="0"/>
          <w:numId w:val="1001"/>
        </w:numPr>
        <w:pStyle w:val="Compact"/>
      </w:pPr>
      <w:r>
        <w:t xml:space="preserve">Заменить FRR на маршрутизатор VyOS, выполнить аналогичную настройку и проверку.</w:t>
      </w:r>
    </w:p>
    <w:p>
      <w:pPr>
        <w:numPr>
          <w:ilvl w:val="0"/>
          <w:numId w:val="1001"/>
        </w:numPr>
        <w:pStyle w:val="Compact"/>
      </w:pPr>
      <w:r>
        <w:t xml:space="preserve">Сравнить поведение FRR и VyOS с точки зрения конечного узла.</w:t>
      </w:r>
    </w:p>
    <w:bookmarkEnd w:id="21"/>
    <w:bookmarkStart w:id="8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GNS3 собрана простейшая локальная сеть: пара узлов VPCS соединена через один Ethernet-коммутатор. Подобная конфигурация даёт возможность отследить обмен кадрами в пределах одного широковещательного домена, не задействуя маршрутизатор (рис. 1).</w:t>
      </w:r>
    </w:p>
    <w:p>
      <w:pPr>
        <w:pStyle w:val="CaptionedFigure"/>
      </w:pPr>
      <w:r>
        <w:drawing>
          <wp:inline>
            <wp:extent cx="3733800" cy="1129625"/>
            <wp:effectExtent b="0" l="0" r="0" t="0"/>
            <wp:docPr descr="Формирование локального сегмента в GNS3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9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Формирование локального сегмента в GNS3</w:t>
      </w:r>
    </w:p>
    <w:p>
      <w:pPr>
        <w:pStyle w:val="BodyText"/>
      </w:pPr>
      <w:r>
        <w:t xml:space="preserve">На PC1 с помощью команды ip прописаны адрес 192.168.1.11/24 и шлюз 192.168.1.1, после чего show ip отобразил сохранённые значения. Префикс /24 относит оба узла к сети 192.168.1.0 (рис. 2).</w:t>
      </w:r>
    </w:p>
    <w:p>
      <w:pPr>
        <w:pStyle w:val="CaptionedFigure"/>
      </w:pPr>
      <w:r>
        <w:drawing>
          <wp:inline>
            <wp:extent cx="3733800" cy="2244475"/>
            <wp:effectExtent b="0" l="0" r="0" t="0"/>
            <wp:docPr descr="Настройка адреса на PC1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4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адреса на PC1</w:t>
      </w:r>
    </w:p>
    <w:p>
      <w:pPr>
        <w:pStyle w:val="BodyText"/>
      </w:pPr>
      <w:r>
        <w:t xml:space="preserve">В консоли PC2 прописан адрес 192.168.1.12/24 с тем же шлюзом. Контрольный вывод демонстрирует иной MAC-адрес этого VPCS — это помогает отличать кадры двух машин в Wireshark (рис. 3).</w:t>
      </w:r>
    </w:p>
    <w:p>
      <w:pPr>
        <w:pStyle w:val="CaptionedFigure"/>
      </w:pPr>
      <w:r>
        <w:drawing>
          <wp:inline>
            <wp:extent cx="3733800" cy="2228589"/>
            <wp:effectExtent b="0" l="0" r="0" t="0"/>
            <wp:docPr descr="Настройка адреса на PC2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8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адреса на PC2</w:t>
      </w:r>
    </w:p>
    <w:p>
      <w:pPr>
        <w:pStyle w:val="BodyText"/>
      </w:pPr>
      <w:r>
        <w:t xml:space="preserve">С PC1 отправлены ICMP Echo-запросы по адресу 192.168.1.12. Пришло пять откликов с TTL 64 и небольшой задержкой — значит, адресация и коммутация внутри сегмента работают корректно (рис. 4).</w:t>
      </w:r>
    </w:p>
    <w:p>
      <w:pPr>
        <w:pStyle w:val="CaptionedFigure"/>
      </w:pPr>
      <w:r>
        <w:drawing>
          <wp:inline>
            <wp:extent cx="3733800" cy="943985"/>
            <wp:effectExtent b="0" l="0" r="0" t="0"/>
            <wp:docPr descr="Проверка связи командой ping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3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связи командой ping</w:t>
      </w:r>
    </w:p>
    <w:p>
      <w:pPr>
        <w:pStyle w:val="BodyText"/>
      </w:pPr>
      <w:r>
        <w:t xml:space="preserve">Запущен перехват пакетов на участке между PC1 и коммутатором. Схема продолжает работать, а выбранная точка наблюдения даёт возможность увидеть как служебные ARP-кадры, так и последующий ICMP-трафик узла (рис. 5).</w:t>
      </w:r>
    </w:p>
    <w:p>
      <w:pPr>
        <w:pStyle w:val="CaptionedFigure"/>
      </w:pPr>
      <w:r>
        <w:drawing>
          <wp:inline>
            <wp:extent cx="3733800" cy="1670586"/>
            <wp:effectExtent b="0" l="0" r="0" t="0"/>
            <wp:docPr descr="Включение захвата на линии PC1 — коммутатор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0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Включение захвата на линии PC1 — коммутатор</w:t>
      </w:r>
    </w:p>
    <w:p>
      <w:pPr>
        <w:pStyle w:val="BodyText"/>
      </w:pPr>
      <w:r>
        <w:t xml:space="preserve">В окне Wireshark отображаются широковещательные ARP-запросы о владельце 192.168.1.11. Кадры адресованы на ff:ff:ff:ff:ff:ff, так как MAC получателя ещё не известен до ответа (рис. 6).</w:t>
      </w:r>
    </w:p>
    <w:p>
      <w:pPr>
        <w:pStyle w:val="CaptionedFigure"/>
      </w:pPr>
      <w:r>
        <w:drawing>
          <wp:inline>
            <wp:extent cx="3733800" cy="1572758"/>
            <wp:effectExtent b="0" l="0" r="0" t="0"/>
            <wp:docPr descr="Широковещательные ARP-запросы в Wireshark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2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Широковещательные ARP-запросы в Wireshark</w:t>
      </w:r>
    </w:p>
    <w:p>
      <w:pPr>
        <w:pStyle w:val="BodyText"/>
      </w:pPr>
      <w:r>
        <w:t xml:space="preserve">Выделен конкретный ICMP Echo Request. В верхней таблице видно соответствие исходного и конечного IPv4-адресов, а в деталях пакета — вложенность Ethernet II, IPv4 и ICMP (рис. 7).</w:t>
      </w:r>
    </w:p>
    <w:p>
      <w:pPr>
        <w:pStyle w:val="CaptionedFigure"/>
      </w:pPr>
      <w:r>
        <w:drawing>
          <wp:inline>
            <wp:extent cx="3733800" cy="174955"/>
            <wp:effectExtent b="0" l="0" r="0" t="0"/>
            <wp:docPr descr="Разбор отдельного ICMP Echo Request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Разбор отдельного ICMP Echo Request</w:t>
      </w:r>
    </w:p>
    <w:p>
      <w:pPr>
        <w:pStyle w:val="BodyText"/>
      </w:pPr>
      <w:r>
        <w:t xml:space="preserve">Захват демонстрирует пару ARP Request/Reply: узел сначала запрашивает аппаратный адрес владельца IPv4, а затем получает одноадресный ответ. После этого запись может быть помещена в ARP-кэш (рис. 8).</w:t>
      </w:r>
    </w:p>
    <w:p>
      <w:pPr>
        <w:pStyle w:val="CaptionedFigure"/>
      </w:pPr>
      <w:r>
        <w:drawing>
          <wp:inline>
            <wp:extent cx="3733800" cy="151440"/>
            <wp:effectExtent b="0" l="0" r="0" t="0"/>
            <wp:docPr descr="Пара ARP Request/Reply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Пара ARP Request/Reply</w:t>
      </w:r>
    </w:p>
    <w:p>
      <w:pPr>
        <w:pStyle w:val="BodyText"/>
      </w:pPr>
      <w:r>
        <w:t xml:space="preserve">В Wireshark поочерёдно показаны ICMP Echo Request и Echo Reply между 192.168.1.11 и 192.168.1.12. Чередование запросов и ответов соответствует успешному ping без потерь (рис. 9).</w:t>
      </w:r>
    </w:p>
    <w:p>
      <w:pPr>
        <w:pStyle w:val="CaptionedFigure"/>
      </w:pPr>
      <w:r>
        <w:drawing>
          <wp:inline>
            <wp:extent cx="3733800" cy="513136"/>
            <wp:effectExtent b="0" l="0" r="0" t="0"/>
            <wp:docPr descr="Последовательность ICMP Echo Request и Echo Reply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Последовательность ICMP Echo Request и Echo Reply</w:t>
      </w:r>
    </w:p>
    <w:p>
      <w:pPr>
        <w:pStyle w:val="BodyText"/>
      </w:pPr>
      <w:r>
        <w:t xml:space="preserve">Топология перестроена: второй VPCS заменён программным маршрутизатором FRR. Теперь проверяется не только коммутация, но и доступ PC1 к адресу интерфейса шлюза (рис. 10).</w:t>
      </w:r>
    </w:p>
    <w:p>
      <w:pPr>
        <w:pStyle w:val="CaptionedFigure"/>
      </w:pPr>
      <w:r>
        <w:drawing>
          <wp:inline>
            <wp:extent cx="3733800" cy="1483051"/>
            <wp:effectExtent b="0" l="0" r="0" t="0"/>
            <wp:docPr descr="Замена второго VPCS маршрутизатором FRR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3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Замена второго VPCS маршрутизатором FRR</w:t>
      </w:r>
    </w:p>
    <w:p>
      <w:pPr>
        <w:pStyle w:val="BodyText"/>
      </w:pPr>
      <w:r>
        <w:t xml:space="preserve">PC1 перенастроен на адрес 192.168.1.10/24, а 192.168.1.1 указан как default gateway. Команда show ip подтверждает, какие параметры VPCS будет использовать при отправке пакетов за пределы подсети (рис. 11).</w:t>
      </w:r>
    </w:p>
    <w:p>
      <w:pPr>
        <w:pStyle w:val="CaptionedFigure"/>
      </w:pPr>
      <w:r>
        <w:drawing>
          <wp:inline>
            <wp:extent cx="3733800" cy="2822058"/>
            <wp:effectExtent b="0" l="0" r="0" t="0"/>
            <wp:docPr descr="Повторная настройка PC1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2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Повторная настройка PC1</w:t>
      </w:r>
    </w:p>
    <w:p>
      <w:pPr>
        <w:pStyle w:val="BodyText"/>
      </w:pPr>
      <w:r>
        <w:t xml:space="preserve">В running-config FRR задано имя msk-dvkalashnikova-gw-01, а интерфейсу eth0 назначен 192.168.1.1/24. На снимке показана сохранённая конфигурация, а не только ввод отдельных команд (рис. 12).</w:t>
      </w:r>
    </w:p>
    <w:p>
      <w:pPr>
        <w:pStyle w:val="CaptionedFigure"/>
      </w:pPr>
      <w:r>
        <w:drawing>
          <wp:inline>
            <wp:extent cx="3733800" cy="2475120"/>
            <wp:effectExtent b="0" l="0" r="0" t="0"/>
            <wp:docPr descr="Конфигурация FRR: имя msk-dvkalashnikova-gw-01 и адрес на eth0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5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Конфигурация FRR: имя msk-dvkalashnikova-gw-01 и адрес на eth0</w:t>
      </w:r>
    </w:p>
    <w:p>
      <w:pPr>
        <w:pStyle w:val="BodyText"/>
      </w:pPr>
      <w:r>
        <w:t xml:space="preserve">Команда show interface brief вывела eth0 в состоянии up с адресом 192.168.1.1/24. Остальные интерфейсы не задействованы, поэтому рабочий сегмент однозначно связан с eth0 (рис. 13).</w:t>
      </w:r>
    </w:p>
    <w:p>
      <w:pPr>
        <w:pStyle w:val="CaptionedFigure"/>
      </w:pPr>
      <w:r>
        <w:drawing>
          <wp:inline>
            <wp:extent cx="3733800" cy="1751087"/>
            <wp:effectExtent b="0" l="0" r="0" t="0"/>
            <wp:docPr descr="Состояние интерфейса eth0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1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Состояние интерфейса eth0</w:t>
      </w:r>
    </w:p>
    <w:p>
      <w:pPr>
        <w:pStyle w:val="BodyText"/>
      </w:pPr>
      <w:r>
        <w:t xml:space="preserve">С PC1 выполнен ping адреса шлюза 192.168.1.1. Все запросы получили ответы, что подтверждает исправность линии PC1—коммутатор—FRR и совпадение сетевых масок (рис. 14).</w:t>
      </w:r>
    </w:p>
    <w:p>
      <w:pPr>
        <w:pStyle w:val="CaptionedFigure"/>
      </w:pPr>
      <w:r>
        <w:drawing>
          <wp:inline>
            <wp:extent cx="3733800" cy="952077"/>
            <wp:effectExtent b="0" l="0" r="0" t="0"/>
            <wp:docPr descr="Ping шлюза с PC1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2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Ping шлюза с PC1</w:t>
      </w:r>
    </w:p>
    <w:p>
      <w:pPr>
        <w:pStyle w:val="BodyText"/>
      </w:pPr>
      <w:r>
        <w:t xml:space="preserve">В захвате на линии к FRR видны ICMP-запросы от 192.168.1.10 и ответы от 192.168.1.1. Пакеты подтверждают тот же результат на сетевом уровне, который ранее наблюдался в консоли ping (рис. 15).</w:t>
      </w:r>
    </w:p>
    <w:p>
      <w:pPr>
        <w:pStyle w:val="CaptionedFigure"/>
      </w:pPr>
      <w:r>
        <w:drawing>
          <wp:inline>
            <wp:extent cx="3733800" cy="569917"/>
            <wp:effectExtent b="0" l="0" r="0" t="0"/>
            <wp:docPr descr="ICMP-трафик на линии к FRR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9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ICMP-трафик на линии к FRR</w:t>
      </w:r>
    </w:p>
    <w:p>
      <w:pPr>
        <w:pStyle w:val="BodyText"/>
      </w:pPr>
      <w:r>
        <w:t xml:space="preserve">Схема с PC1, Ethernet-коммутатором и FRR показана в рабочем состоянии. Зелёные точки на соединениях соответствуют поднятым интерфейсам после завершения адресной настройки (рис. 16).</w:t>
      </w:r>
    </w:p>
    <w:p>
      <w:pPr>
        <w:pStyle w:val="CaptionedFigure"/>
      </w:pPr>
      <w:r>
        <w:drawing>
          <wp:inline>
            <wp:extent cx="3733800" cy="1331030"/>
            <wp:effectExtent b="0" l="0" r="0" t="0"/>
            <wp:docPr descr="Рабочее состояние схемы с FRR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1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Рабочее состояние схемы с FRR</w:t>
      </w:r>
    </w:p>
    <w:p>
      <w:pPr>
        <w:pStyle w:val="BodyText"/>
      </w:pPr>
      <w:r>
        <w:t xml:space="preserve">Повторный show ip на PC1 фиксирует адрес 192.168.1.10/24 и шлюз 192.168.1.1 перед заменой маршрутизатора. Эти исходные параметры оставлены неизменными для корректного сравнения FRR и VyOS (рис. 17).</w:t>
      </w:r>
    </w:p>
    <w:p>
      <w:pPr>
        <w:pStyle w:val="CaptionedFigure"/>
      </w:pPr>
      <w:r>
        <w:drawing>
          <wp:inline>
            <wp:extent cx="3733800" cy="2602345"/>
            <wp:effectExtent b="0" l="0" r="0" t="0"/>
            <wp:docPr descr="Контрольный вывод show ip на PC1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2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Контрольный вывод show ip на PC1</w:t>
      </w:r>
    </w:p>
    <w:p>
      <w:pPr>
        <w:pStyle w:val="BodyText"/>
      </w:pPr>
      <w:r>
        <w:t xml:space="preserve">В конфигурационном режиме VyOS удалён адрес, получаемый по DHCP, задано имя узла и установлен статический 192.168.1.1/24 на eth0. Команда compare показывает ожидаемые изменения до их применения (рис. 18).</w:t>
      </w:r>
    </w:p>
    <w:p>
      <w:pPr>
        <w:pStyle w:val="CaptionedFigure"/>
      </w:pPr>
      <w:r>
        <w:drawing>
          <wp:inline>
            <wp:extent cx="3733800" cy="2186645"/>
            <wp:effectExtent b="0" l="0" r="0" t="0"/>
            <wp:docPr descr="Настройка интерфейса в VyOS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6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Настройка интерфейса в VyOS</w:t>
      </w:r>
    </w:p>
    <w:p>
      <w:pPr>
        <w:pStyle w:val="BodyText"/>
      </w:pPr>
      <w:r>
        <w:t xml:space="preserve">После commit и save команда show interfaces выводит eth0 в состоянии up с адресом 192.168.1.1/24. Конфигурация сохранена в config.boot и будет восстановлена после перезагрузки (рис. 19).</w:t>
      </w:r>
    </w:p>
    <w:p>
      <w:pPr>
        <w:pStyle w:val="CaptionedFigure"/>
      </w:pPr>
      <w:r>
        <w:drawing>
          <wp:inline>
            <wp:extent cx="3733800" cy="3170766"/>
            <wp:effectExtent b="0" l="0" r="0" t="0"/>
            <wp:docPr descr="Проверка интерфейса VyOS после commit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0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Проверка интерфейса VyOS после commit</w:t>
      </w:r>
    </w:p>
    <w:p>
      <w:pPr>
        <w:pStyle w:val="BodyText"/>
      </w:pPr>
      <w:r>
        <w:t xml:space="preserve">PC1 успешно отвечает на ping к 192.168.1.1 уже при работе VyOS. Совпадение результата с FRR показывает, что для конечного узла реализация маршрутизатора не меняет логику IPv4-обмена (рис. 20).</w:t>
      </w:r>
    </w:p>
    <w:p>
      <w:pPr>
        <w:pStyle w:val="CaptionedFigure"/>
      </w:pPr>
      <w:r>
        <w:drawing>
          <wp:inline>
            <wp:extent cx="3733800" cy="1012418"/>
            <wp:effectExtent b="0" l="0" r="0" t="0"/>
            <wp:docPr descr="Ping шлюза через VyOS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2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Ping шлюза через VyOS</w:t>
      </w:r>
    </w:p>
    <w:p>
      <w:pPr>
        <w:pStyle w:val="BodyText"/>
      </w:pPr>
      <w:r>
        <w:t xml:space="preserve">Wireshark зарегистрировал ICMP Echo между PC1 и интерфейсом VyOS. В колонках Source и Destination видны адреса 192.168.1.10 и 192.168.1.1, а ответы следуют за каждым запросом (рис. 21).</w:t>
      </w:r>
    </w:p>
    <w:p>
      <w:pPr>
        <w:pStyle w:val="CaptionedFigure"/>
      </w:pPr>
      <w:r>
        <w:drawing>
          <wp:inline>
            <wp:extent cx="3733800" cy="582878"/>
            <wp:effectExtent b="0" l="0" r="0" t="0"/>
            <wp:docPr descr="ICMP-обмен между PC1 и VyOS в Wireshark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2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ICMP-обмен между PC1 и VyOS в Wireshark</w:t>
      </w:r>
    </w:p>
    <w:bookmarkEnd w:id="85"/>
    <w:bookmarkStart w:id="8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Поставленная цель выполнена: освоено построение простых схем на коммутаторе и маршрутизаторе, а также изучено поведение Ethernet, ARP и ICMP в Wireshark. Полученные результаты подтверждают работоспособность собранного стенда и корректность выполненной настройки.</w:t>
      </w:r>
    </w:p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лабораторной работе</dc:title>
  <dc:creator>Калашникова Дарья</dc:creator>
  <dc:language>ru-RU</dc:language>
  <cp:keywords/>
  <dcterms:created xsi:type="dcterms:W3CDTF">2026-09-25T17:47:29Z</dcterms:created>
  <dcterms:modified xsi:type="dcterms:W3CDTF">2026-09-25T17:47:29Z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№2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