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7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настройку межсетевого экрана в Linux в части проброса портов и включения Masquerading.</w:t>
      </w:r>
    </w:p>
    <w:bookmarkEnd w:id="20"/>
    <w:bookmarkStart w:id="6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Поднимаем сервер через vagrant (рис. 1).</w:t>
      </w:r>
    </w:p>
    <w:p>
      <w:pPr>
        <w:pStyle w:val="CaptionedFigure"/>
      </w:pPr>
      <w:r>
        <w:drawing>
          <wp:inline>
            <wp:extent cx="5334000" cy="1099646"/>
            <wp:effectExtent b="0" l="0" r="0" t="0"/>
            <wp:docPr descr="Запуск сервер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9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сервера</w:t>
      </w:r>
    </w:p>
    <w:p>
      <w:pPr>
        <w:pStyle w:val="BodyText"/>
      </w:pPr>
      <w:r>
        <w:t xml:space="preserve">Заходим под суперпользователем и делаем копию файла описания службы ssh — назовём её ssh-custom.xml (рис. 2).</w:t>
      </w:r>
    </w:p>
    <w:p>
      <w:pPr>
        <w:pStyle w:val="CaptionedFigure"/>
      </w:pPr>
      <w:r>
        <w:drawing>
          <wp:inline>
            <wp:extent cx="5334000" cy="1718979"/>
            <wp:effectExtent b="0" l="0" r="0" t="0"/>
            <wp:docPr descr="Копирование конфигурационного файл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8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Копирование конфигурационного файла</w:t>
      </w:r>
    </w:p>
    <w:p>
      <w:pPr>
        <w:pStyle w:val="BodyText"/>
      </w:pPr>
      <w:r>
        <w:t xml:space="preserve">Дальше правим этот файл. Главное отличие — порт для tcp выставлен как 2022.</w:t>
      </w:r>
      <w:r>
        <w:br/>
      </w:r>
      <w:r>
        <w:t xml:space="preserve">Это XML-файл, описывающий пользовательскую службу для брандмауэра firewalld в Linux. Разберём его построчно:</w:t>
      </w:r>
    </w:p>
    <w:p>
      <w:pPr>
        <w:pStyle w:val="BodyText"/>
      </w:pPr>
      <w:r>
        <w:t xml:space="preserve">Строка 1:</w:t>
      </w:r>
      <w:r>
        <w:t xml:space="preserve"> </w:t>
      </w:r>
      <w:r>
        <w:rPr>
          <w:rStyle w:val="VerbatimChar"/>
        </w:rPr>
        <w:t xml:space="preserve">&lt;?xml version="1.0" encoding="utf-8"?&gt;</w:t>
      </w:r>
      <w:r>
        <w:br/>
      </w:r>
      <w:r>
        <w:t xml:space="preserve">Обычное объявление XML: версия 1.0 и кодировка UTF-8.</w:t>
      </w:r>
    </w:p>
    <w:p>
      <w:pPr>
        <w:pStyle w:val="BodyText"/>
      </w:pPr>
      <w:r>
        <w:t xml:space="preserve">Строка 2:</w:t>
      </w:r>
      <w:r>
        <w:t xml:space="preserve"> </w:t>
      </w:r>
      <w:r>
        <w:rPr>
          <w:rStyle w:val="VerbatimChar"/>
        </w:rPr>
        <w:t xml:space="preserve">&lt;service&gt;</w:t>
      </w:r>
      <w:r>
        <w:br/>
      </w:r>
      <w:r>
        <w:t xml:space="preserve">Открывающий тег корневого элемента — начало описания новой службы для firewalld.</w:t>
      </w:r>
    </w:p>
    <w:p>
      <w:pPr>
        <w:pStyle w:val="BodyText"/>
      </w:pPr>
      <w:r>
        <w:t xml:space="preserve">Строка 3:</w:t>
      </w:r>
      <w:r>
        <w:t xml:space="preserve"> </w:t>
      </w:r>
      <w:r>
        <w:rPr>
          <w:rStyle w:val="VerbatimChar"/>
        </w:rPr>
        <w:t xml:space="preserve">&lt;short&gt;SSH-New&lt;/short&gt;</w:t>
      </w:r>
      <w:r>
        <w:br/>
      </w:r>
      <w:r>
        <w:t xml:space="preserve">Короткое имя службы, удобное для чтения. Здесь это «SSH-New».</w:t>
      </w:r>
    </w:p>
    <w:p>
      <w:pPr>
        <w:pStyle w:val="BodyText"/>
      </w:pPr>
      <w:r>
        <w:t xml:space="preserve">Строка 4:</w:t>
      </w:r>
      <w:r>
        <w:t xml:space="preserve"> </w:t>
      </w:r>
      <w:r>
        <w:rPr>
          <w:rStyle w:val="VerbatimChar"/>
        </w:rPr>
        <w:t xml:space="preserve">&lt;description&gt;Long SSH description&lt;/description&gt;</w:t>
      </w:r>
      <w:r>
        <w:br/>
      </w:r>
      <w:r>
        <w:t xml:space="preserve">Развёрнутое описание службы. В примере текст «Long SSH description» (Длинное описание SSH).</w:t>
      </w:r>
    </w:p>
    <w:p>
      <w:pPr>
        <w:pStyle w:val="BodyText"/>
      </w:pPr>
      <w:r>
        <w:t xml:space="preserve">Строка 5:</w:t>
      </w:r>
      <w:r>
        <w:t xml:space="preserve"> </w:t>
      </w:r>
      <w:r>
        <w:rPr>
          <w:rStyle w:val="VerbatimChar"/>
        </w:rPr>
        <w:t xml:space="preserve">&lt;port protocol="tcp" port="2022"/&gt;</w:t>
      </w:r>
      <w:r>
        <w:br/>
      </w:r>
      <w:r>
        <w:t xml:space="preserve">Ключевая строка: служба работает по протоколу tcp и слушает порт 2022. При активации службы в firewalld брандмауэр откроет 2022 порт для входящих TCP-соединений.</w:t>
      </w:r>
    </w:p>
    <w:p>
      <w:pPr>
        <w:pStyle w:val="BodyText"/>
      </w:pPr>
      <w:r>
        <w:t xml:space="preserve">Строка 6:</w:t>
      </w:r>
      <w:r>
        <w:t xml:space="preserve"> </w:t>
      </w:r>
      <w:r>
        <w:rPr>
          <w:rStyle w:val="VerbatimChar"/>
        </w:rPr>
        <w:t xml:space="preserve">&lt;/service&gt;</w:t>
      </w:r>
      <w:r>
        <w:br/>
      </w:r>
      <w:r>
        <w:t xml:space="preserve">Закрывающий тег — конец описания службы (рис. 3).</w:t>
      </w:r>
    </w:p>
    <w:p>
      <w:pPr>
        <w:pStyle w:val="CaptionedFigure"/>
      </w:pPr>
      <w:r>
        <w:drawing>
          <wp:inline>
            <wp:extent cx="5334000" cy="1051450"/>
            <wp:effectExtent b="0" l="0" r="0" t="0"/>
            <wp:docPr descr="Редактирование файла /etc/firewalld/services/ssh-custom.xml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1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Редактирование файла /etc/firewalld/services/ssh-custom.xml</w:t>
      </w:r>
    </w:p>
    <w:p>
      <w:pPr>
        <w:pStyle w:val="BodyText"/>
      </w:pPr>
      <w:r>
        <w:t xml:space="preserve">Выводим список доступных служб firewalld. Наша новая служба в нём пока не появилась (рис. 4).</w:t>
      </w:r>
    </w:p>
    <w:p>
      <w:pPr>
        <w:pStyle w:val="CaptionedFigure"/>
      </w:pPr>
      <w:r>
        <w:drawing>
          <wp:inline>
            <wp:extent cx="5334000" cy="2936282"/>
            <wp:effectExtent b="0" l="0" r="0" t="0"/>
            <wp:docPr descr="Список служб firewalld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6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Список служб firewalld</w:t>
      </w:r>
    </w:p>
    <w:p>
      <w:pPr>
        <w:pStyle w:val="BodyText"/>
      </w:pPr>
      <w:r>
        <w:t xml:space="preserve">Перезапускаем firewalld и снова смотрим список доступных служб. Теперь наша служба в нём есть. Затем выводим список активных служб и видим, что наша служба пока не активна (рис. 5).</w:t>
      </w:r>
    </w:p>
    <w:p>
      <w:pPr>
        <w:pStyle w:val="CaptionedFigure"/>
      </w:pPr>
      <w:r>
        <w:drawing>
          <wp:inline>
            <wp:extent cx="5334000" cy="3494434"/>
            <wp:effectExtent b="0" l="0" r="0" t="0"/>
            <wp:docPr descr="Списки служб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4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Списки служб</w:t>
      </w:r>
    </w:p>
    <w:p>
      <w:pPr>
        <w:pStyle w:val="BodyText"/>
      </w:pPr>
      <w:r>
        <w:t xml:space="preserve">Активируем созданную службу ssh-custom. Проверяем, что она запущена и присутствует в списке активных, после чего добавляем её в постоянные и перезагружаем firewalld (рис. 6).</w:t>
      </w:r>
    </w:p>
    <w:p>
      <w:pPr>
        <w:pStyle w:val="CaptionedFigure"/>
      </w:pPr>
      <w:r>
        <w:drawing>
          <wp:inline>
            <wp:extent cx="5334000" cy="930348"/>
            <wp:effectExtent b="0" l="0" r="0" t="0"/>
            <wp:docPr descr="Добавление службы как активной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Добавление службы как активной</w:t>
      </w:r>
    </w:p>
    <w:p>
      <w:pPr>
        <w:pStyle w:val="BodyText"/>
      </w:pPr>
      <w:r>
        <w:t xml:space="preserve">Через firewalld настраиваем переадресацию портов с 2022 на 22 (рис. 7).</w:t>
      </w:r>
    </w:p>
    <w:p>
      <w:pPr>
        <w:pStyle w:val="CaptionedFigure"/>
      </w:pPr>
      <w:r>
        <w:drawing>
          <wp:inline>
            <wp:extent cx="5334000" cy="400050"/>
            <wp:effectExtent b="0" l="0" r="0" t="0"/>
            <wp:docPr descr="Форвардинг портов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Форвардинг портов</w:t>
      </w:r>
    </w:p>
    <w:p>
      <w:pPr>
        <w:pStyle w:val="BodyText"/>
      </w:pPr>
      <w:r>
        <w:t xml:space="preserve">С клиента пробуем подключиться к серверу по ssh именно через порт 2022. Подключение проходит успешно (рис. 8).</w:t>
      </w:r>
    </w:p>
    <w:p>
      <w:pPr>
        <w:pStyle w:val="CaptionedFigure"/>
      </w:pPr>
      <w:r>
        <w:drawing>
          <wp:inline>
            <wp:extent cx="5334000" cy="1920729"/>
            <wp:effectExtent b="0" l="0" r="0" t="0"/>
            <wp:docPr descr="Подключение по ssh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0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Подключение по ssh</w:t>
      </w:r>
    </w:p>
    <w:p>
      <w:pPr>
        <w:pStyle w:val="BodyText"/>
      </w:pPr>
      <w:r>
        <w:t xml:space="preserve">Смотрим, включено ли в ядре перенаправление ipv4-пакетов. Переключатель пока в положении 0. Прописываем</w:t>
      </w:r>
      <w:r>
        <w:t xml:space="preserve"> </w:t>
      </w:r>
      <w:r>
        <w:rPr>
          <w:rStyle w:val="VerbatimChar"/>
        </w:rPr>
        <w:t xml:space="preserve">net.ipv4.ip_forward = 1</w:t>
      </w:r>
      <w:r>
        <w:t xml:space="preserve"> </w:t>
      </w:r>
      <w:r>
        <w:t xml:space="preserve">в /etc/sysctl.d/90-forward.conf, загружаем этот конфиг и через firewall-cmd включаем маскарадинг (рис. 9).</w:t>
      </w:r>
    </w:p>
    <w:p>
      <w:pPr>
        <w:pStyle w:val="CaptionedFigure"/>
      </w:pPr>
      <w:r>
        <w:drawing>
          <wp:inline>
            <wp:extent cx="5334000" cy="4065413"/>
            <wp:effectExtent b="0" l="0" r="0" t="0"/>
            <wp:docPr descr="Включение перенаправления и маскарадинга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5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Включение перенаправления и маскарадинга</w:t>
      </w:r>
    </w:p>
    <w:p>
      <w:pPr>
        <w:pStyle w:val="BodyText"/>
      </w:pPr>
      <w:r>
        <w:t xml:space="preserve">Проверяем с клиента выход в интернет — доступ есть (рис. 10).</w:t>
      </w:r>
    </w:p>
    <w:p>
      <w:pPr>
        <w:pStyle w:val="CaptionedFigure"/>
      </w:pPr>
      <w:r>
        <w:drawing>
          <wp:inline>
            <wp:extent cx="5334000" cy="3337433"/>
            <wp:effectExtent b="0" l="0" r="0" t="0"/>
            <wp:docPr descr="Проверка доступа в интернет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7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доступа в интернет</w:t>
      </w:r>
    </w:p>
    <w:p>
      <w:pPr>
        <w:pStyle w:val="BodyText"/>
      </w:pPr>
      <w:r>
        <w:t xml:space="preserve">Затем сохраняем все конфигурационные файлы в vagrant и создаём скрипт firewall.sh (рис. 11).</w:t>
      </w:r>
    </w:p>
    <w:p>
      <w:pPr>
        <w:pStyle w:val="CaptionedFigure"/>
      </w:pPr>
      <w:r>
        <w:drawing>
          <wp:inline>
            <wp:extent cx="5334000" cy="1316946"/>
            <wp:effectExtent b="0" l="0" r="0" t="0"/>
            <wp:docPr descr="Сохранение конфигурации vagrant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6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Сохранение конфигурации vagrant</w:t>
      </w:r>
    </w:p>
    <w:p>
      <w:pPr>
        <w:pStyle w:val="BodyText"/>
      </w:pPr>
      <w:r>
        <w:t xml:space="preserve">В скрипте firewall.sh прописываем строки для настройки ssh и маскарадинга (рис. 12).</w:t>
      </w:r>
    </w:p>
    <w:p>
      <w:pPr>
        <w:pStyle w:val="CaptionedFigure"/>
      </w:pPr>
      <w:r>
        <w:drawing>
          <wp:inline>
            <wp:extent cx="5334000" cy="1662952"/>
            <wp:effectExtent b="0" l="0" r="0" t="0"/>
            <wp:docPr descr="firewall.sh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2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firewall.sh</w:t>
      </w:r>
    </w:p>
    <w:p>
      <w:pPr>
        <w:pStyle w:val="BodyText"/>
      </w:pPr>
      <w:r>
        <w:t xml:space="preserve">А в vagrantfile добавляем автозагрузку этого скрипта (рис. 13).</w:t>
      </w:r>
    </w:p>
    <w:p>
      <w:pPr>
        <w:pStyle w:val="CaptionedFigure"/>
      </w:pPr>
      <w:r>
        <w:drawing>
          <wp:inline>
            <wp:extent cx="5334000" cy="742037"/>
            <wp:effectExtent b="0" l="0" r="0" t="0"/>
            <wp:docPr descr="Vagrantfile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2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Vagrantfile</w:t>
      </w:r>
    </w:p>
    <w:bookmarkEnd w:id="60"/>
    <w:bookmarkStart w:id="6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получены навыки работы с фаерволом, а также настройки форвардинга и маскарадинга.</w:t>
      </w:r>
    </w:p>
    <w:bookmarkEnd w:id="61"/>
    <w:bookmarkStart w:id="62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Red Hat. Configuring firewalls on Red Hat Enterprise Linux [Электронный ресурс]. — URL: https://docs.redhat.com/ (дата обращения: 07.10.2026).</w:t>
      </w:r>
    </w:p>
    <w:p>
      <w:pPr>
        <w:numPr>
          <w:ilvl w:val="0"/>
          <w:numId w:val="1001"/>
        </w:numPr>
      </w:pPr>
      <w:r>
        <w:t xml:space="preserve">firewalld Project. firewalld Documentation [Электронный ресурс]. — URL: https://firewalld.org/documentation/ (дата обращения: 07.10.2026).</w:t>
      </w:r>
    </w:p>
    <w:p>
      <w:pPr>
        <w:numPr>
          <w:ilvl w:val="0"/>
          <w:numId w:val="1001"/>
        </w:numPr>
      </w:pPr>
      <w:r>
        <w:t xml:space="preserve">The Linux Kernel Archives. IP Sysctl — ip_forward [Электронный ресурс]. — URL: https://www.kernel.org/doc/Documentation/networking/ip-sysctl.txt (дата обращения: 07.10.2026).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Калашникова Дарья Викторовна</dc:creator>
  <dc:language>ru-RU</dc:language>
  <cp:keywords/>
  <dcterms:created xsi:type="dcterms:W3CDTF">2026-10-13T11:07:47Z</dcterms:created>
  <dcterms:modified xsi:type="dcterms:W3CDTF">2026-10-13T11:07:47Z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7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