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установку и настройку системы управления базами данных на примере MariaDB.</w:t>
      </w:r>
    </w:p>
    <w:bookmarkEnd w:id="20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поднимем сервер через vagrant (рис. 1).</w:t>
      </w:r>
    </w:p>
    <w:p>
      <w:pPr>
        <w:pStyle w:val="CaptionedFigure"/>
      </w:pPr>
      <w:r>
        <w:drawing>
          <wp:inline>
            <wp:extent cx="5334000" cy="1099646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Затем поставим пакет MariaDB (рис. 2).</w:t>
      </w:r>
    </w:p>
    <w:p>
      <w:pPr>
        <w:pStyle w:val="CaptionedFigure"/>
      </w:pPr>
      <w:r>
        <w:drawing>
          <wp:inline>
            <wp:extent cx="5334000" cy="931521"/>
            <wp:effectExtent b="0" l="0" r="0" t="0"/>
            <wp:docPr descr="Установка паке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пакета</w:t>
      </w:r>
    </w:p>
    <w:p>
      <w:pPr>
        <w:pStyle w:val="BodyText"/>
      </w:pPr>
      <w:r>
        <w:t xml:space="preserve">Далее разберём ключевые конфигурационные файлы.</w:t>
      </w:r>
    </w:p>
    <w:p>
      <w:pPr>
        <w:pStyle w:val="BodyText"/>
      </w:pPr>
      <w:r>
        <w:t xml:space="preserve">Файл /etc/my.cnf — основной конфиг MariaDB.</w:t>
      </w:r>
      <w:r>
        <w:br/>
      </w:r>
      <w:r>
        <w:t xml:space="preserve">Секция client-server задаёт параметры, общие и для сервера, и для клиентов.</w:t>
      </w:r>
      <w:r>
        <w:br/>
      </w:r>
      <w:r>
        <w:t xml:space="preserve">Директива !includedir /etc/my.cnf.d указывает MariaDB подгружать все .cnf-файлы из каталога /etc/my.cnf.d — именно через неё подключаются остальные файлы (рис. 3).</w:t>
      </w:r>
    </w:p>
    <w:p>
      <w:pPr>
        <w:pStyle w:val="CaptionedFigure"/>
      </w:pPr>
      <w:r>
        <w:drawing>
          <wp:inline>
            <wp:extent cx="5334000" cy="2109196"/>
            <wp:effectExtent b="0" l="0" r="0" t="0"/>
            <wp:docPr descr="/etc/my.c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/etc/my.cnf</w:t>
      </w:r>
    </w:p>
    <w:p>
      <w:pPr>
        <w:pStyle w:val="BodyText"/>
      </w:pPr>
      <w:r>
        <w:t xml:space="preserve">Файл auth_gssapi.cnf предназначен для подключения плагина аутентификации GSSAPI (Kerberos).</w:t>
      </w:r>
      <w:r>
        <w:br/>
      </w:r>
      <w:r>
        <w:t xml:space="preserve">Секция mariadb относится к настройкам MariaDB.</w:t>
      </w:r>
      <w:r>
        <w:br/>
      </w:r>
      <w:r>
        <w:t xml:space="preserve">Строка plugin-load-add=auth_gssapi.so закомментирована — она отвечает за загрузку плагина GSSAPI (рис. 4).</w:t>
      </w:r>
    </w:p>
    <w:p>
      <w:pPr>
        <w:pStyle w:val="CaptionedFigure"/>
      </w:pPr>
      <w:r>
        <w:drawing>
          <wp:inline>
            <wp:extent cx="5334000" cy="760328"/>
            <wp:effectExtent b="0" l="0" r="0" t="0"/>
            <wp:docPr descr="auth_gssapi.c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auth_gssapi.cnf</w:t>
      </w:r>
    </w:p>
    <w:p>
      <w:pPr>
        <w:pStyle w:val="BodyText"/>
      </w:pPr>
      <w:r>
        <w:t xml:space="preserve">Файл mariadb-server.cnf — главный конфиг самого сервера.</w:t>
      </w:r>
      <w:r>
        <w:br/>
      </w:r>
      <w:r>
        <w:t xml:space="preserve">Секции server и mysqld описывают параметры серверного процесса mysqld.</w:t>
      </w:r>
      <w:r>
        <w:br/>
      </w:r>
      <w:r>
        <w:t xml:space="preserve">datadir=/var/lib/mysql задаёт каталог, где хранятся базы.</w:t>
      </w:r>
      <w:r>
        <w:br/>
      </w:r>
      <w:r>
        <w:t xml:space="preserve">socket=/var/lib/mysql/mysql.sock указывает путь к сокету для локальных подключений.</w:t>
      </w:r>
      <w:r>
        <w:br/>
      </w:r>
      <w:r>
        <w:t xml:space="preserve">log-error=/var/log/mariadb/mariadb.log — файл журнала ошибок.</w:t>
      </w:r>
      <w:r>
        <w:br/>
      </w:r>
      <w:r>
        <w:t xml:space="preserve">pid-file=/run/mariadb/mariadb.pid — файл с идентификатором процесса сервера.</w:t>
      </w:r>
      <w:r>
        <w:br/>
      </w:r>
      <w:r>
        <w:t xml:space="preserve">Секция galera отвечает за кластер Galera (репликацию).</w:t>
      </w:r>
      <w:r>
        <w:br/>
      </w:r>
      <w:r>
        <w:t xml:space="preserve">wsrep_on=ON включает поддержку Galera.</w:t>
      </w:r>
      <w:r>
        <w:br/>
      </w:r>
      <w:r>
        <w:t xml:space="preserve">wsrep_provider= и wsrep_cluster_address= пока пусты — там должны быть путь к библиотеке Galera и адрес кластера.</w:t>
      </w:r>
      <w:r>
        <w:br/>
      </w:r>
      <w:r>
        <w:t xml:space="preserve">binlog_format=row, default_storage_engine=InnoDB, innodb_autoinc_lock_mode=2 — обязательные параметры для Galera.</w:t>
      </w:r>
      <w:r>
        <w:br/>
      </w:r>
      <w:r>
        <w:t xml:space="preserve">bind-address=0.0.0.0 закомментирован — при включении сервер принимал бы подключения со всех интерфейсов.</w:t>
      </w:r>
      <w:r>
        <w:br/>
      </w:r>
      <w:r>
        <w:t xml:space="preserve">wsrep_slave_threads=1 и innodb_flush_log_at_trx_commit=0 — настройки производительности репликации (рис. 5).</w:t>
      </w:r>
    </w:p>
    <w:p>
      <w:pPr>
        <w:pStyle w:val="CaptionedFigure"/>
      </w:pPr>
      <w:r>
        <w:drawing>
          <wp:inline>
            <wp:extent cx="5334000" cy="5521775"/>
            <wp:effectExtent b="0" l="0" r="0" t="0"/>
            <wp:docPr descr="mariadb-server.c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mariadb-server.cnf</w:t>
      </w:r>
    </w:p>
    <w:p>
      <w:pPr>
        <w:pStyle w:val="BodyText"/>
      </w:pPr>
      <w:r>
        <w:t xml:space="preserve">Файл provider_lz4.cnf:</w:t>
      </w:r>
      <w:r>
        <w:br/>
      </w:r>
      <w:r>
        <w:t xml:space="preserve">секция server.</w:t>
      </w:r>
      <w:r>
        <w:br/>
      </w:r>
      <w:r>
        <w:t xml:space="preserve">plugin_load_add=provider_lz4 подключает плагин сжатия LZ4.</w:t>
      </w:r>
      <w:r>
        <w:br/>
      </w:r>
      <w:r>
        <w:t xml:space="preserve">provider_lz4=force_plus_permanent заставляет плагин загружаться принудительно и запрещает его выгрузку (рис. 6).</w:t>
      </w:r>
    </w:p>
    <w:p>
      <w:pPr>
        <w:pStyle w:val="CaptionedFigure"/>
      </w:pPr>
      <w:r>
        <w:drawing>
          <wp:inline>
            <wp:extent cx="5334000" cy="932284"/>
            <wp:effectExtent b="0" l="0" r="0" t="0"/>
            <wp:docPr descr="provider_lz4.c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provider_lz4.cnf</w:t>
      </w:r>
    </w:p>
    <w:p>
      <w:pPr>
        <w:pStyle w:val="BodyText"/>
      </w:pPr>
      <w:r>
        <w:t xml:space="preserve">Файл spider.cnf подключает движок хранения Spider.</w:t>
      </w:r>
      <w:r>
        <w:br/>
      </w:r>
      <w:r>
        <w:t xml:space="preserve">Секция mariadb.</w:t>
      </w:r>
      <w:r>
        <w:br/>
      </w:r>
      <w:r>
        <w:t xml:space="preserve">Строка plugin-load-add = ha_spider закомментирована — она включает плагин Spider для шардинга (распределения данных между серверами) (рис. 7).</w:t>
      </w:r>
    </w:p>
    <w:p>
      <w:pPr>
        <w:pStyle w:val="CaptionedFigure"/>
      </w:pPr>
      <w:r>
        <w:drawing>
          <wp:inline>
            <wp:extent cx="5334000" cy="1535360"/>
            <wp:effectExtent b="0" l="0" r="0" t="0"/>
            <wp:docPr descr="spider.c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spider.cnf</w:t>
      </w:r>
    </w:p>
    <w:p>
      <w:pPr>
        <w:pStyle w:val="BodyText"/>
      </w:pPr>
      <w:r>
        <w:t xml:space="preserve">Файл client.cnf описывает клиентские приложения.</w:t>
      </w:r>
      <w:r>
        <w:br/>
      </w:r>
      <w:r>
        <w:t xml:space="preserve">Секция client — общие параметры для всех клиентов (MySQL и MariaDB).</w:t>
      </w:r>
      <w:r>
        <w:br/>
      </w:r>
      <w:r>
        <w:t xml:space="preserve">Секция client-mariadb — только для клиентов MariaDB (рис. 8).</w:t>
      </w:r>
    </w:p>
    <w:p>
      <w:pPr>
        <w:pStyle w:val="CaptionedFigure"/>
      </w:pPr>
      <w:r>
        <w:drawing>
          <wp:inline>
            <wp:extent cx="5334000" cy="2372264"/>
            <wp:effectExtent b="0" l="0" r="0" t="0"/>
            <wp:docPr descr="client.cnf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client.cnf</w:t>
      </w:r>
    </w:p>
    <w:p>
      <w:pPr>
        <w:pStyle w:val="BodyText"/>
      </w:pPr>
      <w:r>
        <w:t xml:space="preserve">Файл mysql-clients.cnf — шаблон для настройки отдельных утилит MariaDB.</w:t>
      </w:r>
      <w:r>
        <w:br/>
      </w:r>
      <w:r>
        <w:t xml:space="preserve">В нём есть пустые секции mysql, mysql_upgrade, mysqldump, mysqladmin и др. В них можно прописывать специфичные параметры для каждой утилиты (рис. 9).</w:t>
      </w:r>
    </w:p>
    <w:p>
      <w:pPr>
        <w:pStyle w:val="CaptionedFigure"/>
      </w:pPr>
      <w:r>
        <w:drawing>
          <wp:inline>
            <wp:extent cx="5334000" cy="3705726"/>
            <wp:effectExtent b="0" l="0" r="0" t="0"/>
            <wp:docPr descr="mysql-clients.c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mysql-clients.cnf</w:t>
      </w:r>
    </w:p>
    <w:p>
      <w:pPr>
        <w:pStyle w:val="BodyText"/>
      </w:pPr>
      <w:r>
        <w:t xml:space="preserve">Файл provider_lzo.cnf:</w:t>
      </w:r>
      <w:r>
        <w:br/>
      </w:r>
      <w:r>
        <w:t xml:space="preserve">секция server.</w:t>
      </w:r>
      <w:r>
        <w:br/>
      </w:r>
      <w:r>
        <w:t xml:space="preserve">plugin_load_add=provider_lzo подключает плагин сжатия LZO.</w:t>
      </w:r>
      <w:r>
        <w:br/>
      </w:r>
      <w:r>
        <w:t xml:space="preserve">provider_lzo=force_plus_permanent — принудительная загрузка, запрет выгрузки (рис. 10).</w:t>
      </w:r>
    </w:p>
    <w:p>
      <w:pPr>
        <w:pStyle w:val="CaptionedFigure"/>
      </w:pPr>
      <w:r>
        <w:drawing>
          <wp:inline>
            <wp:extent cx="5334000" cy="1486089"/>
            <wp:effectExtent b="0" l="0" r="0" t="0"/>
            <wp:docPr descr="provider_lzo.cnf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provider_lzo.cnf</w:t>
      </w:r>
    </w:p>
    <w:p>
      <w:pPr>
        <w:pStyle w:val="BodyText"/>
      </w:pPr>
      <w:r>
        <w:t xml:space="preserve">Файл enable_encryption.preset — пресет для включения шифрования данных «в состоянии покоя».</w:t>
      </w:r>
      <w:r>
        <w:br/>
      </w:r>
      <w:r>
        <w:t xml:space="preserve">Секция mariadb.</w:t>
      </w:r>
      <w:r>
        <w:br/>
      </w:r>
      <w:r>
        <w:t xml:space="preserve">Директивы aria-encrypt-tables, encrypt-binlog, encrypt-tmp-disk-tables, encrypt-tmp-files, loose-innodb-encrypt-log, loose-innodb-encrypt-tables включают шифрование для таблиц Aria и InnoDB, бинарного лога и временных файлов (рис. 11).</w:t>
      </w:r>
    </w:p>
    <w:p>
      <w:pPr>
        <w:pStyle w:val="CaptionedFigure"/>
      </w:pPr>
      <w:r>
        <w:drawing>
          <wp:inline>
            <wp:extent cx="5334000" cy="3179321"/>
            <wp:effectExtent b="0" l="0" r="0" t="0"/>
            <wp:docPr descr="enable_encryption.prese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enable_encryption.preset</w:t>
      </w:r>
    </w:p>
    <w:p>
      <w:pPr>
        <w:pStyle w:val="BodyText"/>
      </w:pPr>
      <w:r>
        <w:t xml:space="preserve">Файл provider_bzip2.cnf:</w:t>
      </w:r>
      <w:r>
        <w:br/>
      </w:r>
      <w:r>
        <w:t xml:space="preserve">секция server.</w:t>
      </w:r>
      <w:r>
        <w:br/>
      </w:r>
      <w:r>
        <w:t xml:space="preserve">plugin_load_add=provider_bzip2 подключает плагин сжатия bzip2.</w:t>
      </w:r>
      <w:r>
        <w:br/>
      </w:r>
      <w:r>
        <w:t xml:space="preserve">provider_bzip2=force_plus_permanent — принудительная загрузка, запрет выгрузки (рис. 12).</w:t>
      </w:r>
    </w:p>
    <w:p>
      <w:pPr>
        <w:pStyle w:val="CaptionedFigure"/>
      </w:pPr>
      <w:r>
        <w:drawing>
          <wp:inline>
            <wp:extent cx="5334000" cy="1183767"/>
            <wp:effectExtent b="0" l="0" r="0" t="0"/>
            <wp:docPr descr="provider_bzip2.cnf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provider_bzip2.cnf</w:t>
      </w:r>
    </w:p>
    <w:p>
      <w:pPr>
        <w:pStyle w:val="BodyText"/>
      </w:pPr>
      <w:r>
        <w:t xml:space="preserve">Файл provider_snappy.cnf:</w:t>
      </w:r>
      <w:r>
        <w:br/>
      </w:r>
      <w:r>
        <w:t xml:space="preserve">секция server.</w:t>
      </w:r>
      <w:r>
        <w:br/>
      </w:r>
      <w:r>
        <w:t xml:space="preserve">plugin_load_add=provider_snappy подключает плагин сжатия Snappy.</w:t>
      </w:r>
      <w:r>
        <w:br/>
      </w:r>
      <w:r>
        <w:t xml:space="preserve">provider_snappy=force_plus_permanent — принудительная загрузка, запрет выгрузки (рис. 13).</w:t>
      </w:r>
    </w:p>
    <w:p>
      <w:pPr>
        <w:pStyle w:val="CaptionedFigure"/>
      </w:pPr>
      <w:r>
        <w:drawing>
          <wp:inline>
            <wp:extent cx="5334000" cy="1266110"/>
            <wp:effectExtent b="0" l="0" r="0" t="0"/>
            <wp:docPr descr="provider_snappy.cnf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provider_snappy.cnf</w:t>
      </w:r>
    </w:p>
    <w:p>
      <w:pPr>
        <w:pStyle w:val="BodyText"/>
      </w:pPr>
      <w:r>
        <w:t xml:space="preserve">Запустим службу mariadb, поставим её в автозагрузку и через ss убедимся, что она слушает порт 3306 (рис. 14).</w:t>
      </w:r>
    </w:p>
    <w:p>
      <w:pPr>
        <w:pStyle w:val="CaptionedFigure"/>
      </w:pPr>
      <w:r>
        <w:drawing>
          <wp:inline>
            <wp:extent cx="5334000" cy="2472561"/>
            <wp:effectExtent b="0" l="0" r="0" t="0"/>
            <wp:docPr descr="Запуск mariadb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mariadb</w:t>
      </w:r>
    </w:p>
    <w:p>
      <w:pPr>
        <w:pStyle w:val="BodyText"/>
      </w:pPr>
      <w:r>
        <w:t xml:space="preserve">Выполним mysql_secure_installation и настроим базу данных (рис. 15).</w:t>
      </w:r>
    </w:p>
    <w:p>
      <w:pPr>
        <w:pStyle w:val="CaptionedFigure"/>
      </w:pPr>
      <w:r>
        <w:drawing>
          <wp:inline>
            <wp:extent cx="5334000" cy="5577953"/>
            <wp:effectExtent b="0" l="0" r="0" t="0"/>
            <wp:docPr descr="Настройка БД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БД</w:t>
      </w:r>
    </w:p>
    <w:p>
      <w:pPr>
        <w:pStyle w:val="BodyText"/>
      </w:pPr>
      <w:r>
        <w:t xml:space="preserve">Подключимся к базе и выведем справку — всё работает (рис. 16).</w:t>
      </w:r>
    </w:p>
    <w:p>
      <w:pPr>
        <w:pStyle w:val="CaptionedFigure"/>
      </w:pPr>
      <w:r>
        <w:drawing>
          <wp:inline>
            <wp:extent cx="5334000" cy="1622558"/>
            <wp:effectExtent b="0" l="0" r="0" t="0"/>
            <wp:docPr descr="Подключение к БД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Подключение к БД</w:t>
      </w:r>
    </w:p>
    <w:p>
      <w:pPr>
        <w:pStyle w:val="BodyText"/>
      </w:pPr>
      <w:r>
        <w:t xml:space="preserve">Посмотрим список баз данных: на этом шаге их четыре (рис. 17).</w:t>
      </w:r>
    </w:p>
    <w:p>
      <w:pPr>
        <w:pStyle w:val="CaptionedFigure"/>
      </w:pPr>
      <w:r>
        <w:drawing>
          <wp:inline>
            <wp:extent cx="4273616" cy="2820202"/>
            <wp:effectExtent b="0" l="0" r="0" t="0"/>
            <wp:docPr descr="Списки БД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Списки БД</w:t>
      </w:r>
    </w:p>
    <w:p>
      <w:pPr>
        <w:pStyle w:val="BodyText"/>
      </w:pPr>
      <w:r>
        <w:t xml:space="preserve">Выведем статус БД и разберём его построчно:</w:t>
      </w:r>
    </w:p>
    <w:p>
      <w:pPr>
        <w:pStyle w:val="BodyText"/>
      </w:pPr>
      <w:r>
        <w:rPr>
          <w:bCs/>
          <w:b/>
        </w:rPr>
        <w:t xml:space="preserve">Информация о клиенте</w:t>
      </w:r>
      <w:r>
        <w:br/>
      </w:r>
      <w:r>
        <w:t xml:space="preserve">mysql Ver 15.1 Distrib 10.11.18-MariaDB, for Linux (x86_64) using EditLine wrapper</w:t>
      </w:r>
      <w:r>
        <w:br/>
      </w:r>
      <w:r>
        <w:t xml:space="preserve">Строка описывает программу, через которую выполнено подключение: клиент mysql из дистрибутива MariaDB 10.11.18.</w:t>
      </w:r>
    </w:p>
    <w:p>
      <w:pPr>
        <w:pStyle w:val="BodyText"/>
      </w:pPr>
      <w:r>
        <w:rPr>
          <w:bCs/>
          <w:b/>
        </w:rPr>
        <w:t xml:space="preserve">Параметры текущего сеанса</w:t>
      </w:r>
      <w:r>
        <w:br/>
      </w:r>
      <w:r>
        <w:t xml:space="preserve">Connection id: 12</w:t>
      </w:r>
      <w:r>
        <w:br/>
      </w:r>
      <w:r>
        <w:t xml:space="preserve">Уникальный идентификатор текущего подключения.</w:t>
      </w:r>
      <w:r>
        <w:br/>
      </w:r>
      <w:r>
        <w:t xml:space="preserve">Current database:</w:t>
      </w:r>
      <w:r>
        <w:br/>
      </w:r>
      <w:r>
        <w:t xml:space="preserve">Текущая выбранная база данных. Здесь она не выбрана.</w:t>
      </w:r>
      <w:r>
        <w:br/>
      </w:r>
      <w:r>
        <w:t xml:space="preserve">Current user: root@localhost</w:t>
      </w:r>
      <w:r>
        <w:br/>
      </w:r>
      <w:r>
        <w:t xml:space="preserve">Пользователь и хост, с которого выполнено подключение.</w:t>
      </w:r>
      <w:r>
        <w:br/>
      </w:r>
      <w:r>
        <w:t xml:space="preserve">SSL: Not in use</w:t>
      </w:r>
      <w:r>
        <w:br/>
      </w:r>
      <w:r>
        <w:t xml:space="preserve">Используется ли шифрование SSL/TLS в этом соединении — здесь нет.</w:t>
      </w:r>
      <w:r>
        <w:br/>
      </w:r>
      <w:r>
        <w:t xml:space="preserve">Current pager: stdout</w:t>
      </w:r>
      <w:r>
        <w:br/>
      </w:r>
      <w:r>
        <w:t xml:space="preserve">Утилита постраничного вывода; stdout означает вывод прямо в консоль.</w:t>
      </w:r>
      <w:r>
        <w:br/>
      </w:r>
      <w:r>
        <w:t xml:space="preserve">Using outfile: ’’</w:t>
      </w:r>
      <w:r>
        <w:br/>
      </w:r>
      <w:r>
        <w:t xml:space="preserve">Перенаправляется ли вывод в файл — нет.</w:t>
      </w:r>
      <w:r>
        <w:br/>
      </w:r>
      <w:r>
        <w:t xml:space="preserve">Using delimiter: ;</w:t>
      </w:r>
      <w:r>
        <w:br/>
      </w:r>
      <w:r>
        <w:t xml:space="preserve">Символ завершения SQL-команд.</w:t>
      </w:r>
    </w:p>
    <w:p>
      <w:pPr>
        <w:pStyle w:val="BodyText"/>
      </w:pPr>
      <w:r>
        <w:rPr>
          <w:bCs/>
          <w:b/>
        </w:rPr>
        <w:t xml:space="preserve">Информация о сервере</w:t>
      </w:r>
      <w:r>
        <w:br/>
      </w:r>
      <w:r>
        <w:t xml:space="preserve">Server: MariaDB</w:t>
      </w:r>
      <w:r>
        <w:br/>
      </w:r>
      <w:r>
        <w:t xml:space="preserve">Тип сервера.</w:t>
      </w:r>
      <w:r>
        <w:br/>
      </w:r>
      <w:r>
        <w:t xml:space="preserve">Server version: 10.11.18-MariaDB MariaDB Server</w:t>
      </w:r>
      <w:r>
        <w:br/>
      </w:r>
      <w:r>
        <w:t xml:space="preserve">Полная версия серверного ПО.</w:t>
      </w:r>
      <w:r>
        <w:br/>
      </w:r>
      <w:r>
        <w:t xml:space="preserve">Protocol version: 10</w:t>
      </w:r>
      <w:r>
        <w:br/>
      </w:r>
      <w:r>
        <w:t xml:space="preserve">Версия протокола обмена между клиентом и сервером.</w:t>
      </w:r>
      <w:r>
        <w:br/>
      </w:r>
      <w:r>
        <w:t xml:space="preserve">Connection: Localhost via UNIX socket</w:t>
      </w:r>
      <w:r>
        <w:br/>
      </w:r>
      <w:r>
        <w:t xml:space="preserve">Способ подключения: локальный, через UNIX-сокет — это эффективно.</w:t>
      </w:r>
      <w:r>
        <w:br/>
      </w:r>
      <w:r>
        <w:t xml:space="preserve">UNIX socket: /var/lib/mysql/mysql.sock</w:t>
      </w:r>
      <w:r>
        <w:br/>
      </w:r>
      <w:r>
        <w:t xml:space="preserve">Путь к файлу сокета для этого соединения.</w:t>
      </w:r>
    </w:p>
    <w:p>
      <w:pPr>
        <w:pStyle w:val="BodyText"/>
      </w:pPr>
      <w:r>
        <w:rPr>
          <w:bCs/>
          <w:b/>
        </w:rPr>
        <w:t xml:space="preserve">Кодировки</w:t>
      </w:r>
      <w:r>
        <w:br/>
      </w:r>
      <w:r>
        <w:t xml:space="preserve">Server characterset: latin1</w:t>
      </w:r>
      <w:r>
        <w:br/>
      </w:r>
      <w:r>
        <w:t xml:space="preserve">Кодировка по умолчанию для всего сервера.</w:t>
      </w:r>
      <w:r>
        <w:br/>
      </w:r>
      <w:r>
        <w:t xml:space="preserve">Db characterset: latin1</w:t>
      </w:r>
      <w:r>
        <w:br/>
      </w:r>
      <w:r>
        <w:t xml:space="preserve">Кодировка по умолчанию для текущей базы.</w:t>
      </w:r>
      <w:r>
        <w:br/>
      </w:r>
      <w:r>
        <w:t xml:space="preserve">Client characterset: utf8mb3</w:t>
      </w:r>
      <w:r>
        <w:br/>
      </w:r>
      <w:r>
        <w:t xml:space="preserve">Кодировка, в которой клиент отправляет запросы.</w:t>
      </w:r>
      <w:r>
        <w:br/>
      </w:r>
      <w:r>
        <w:t xml:space="preserve">Conn. characterset: utf8mb3</w:t>
      </w:r>
      <w:r>
        <w:br/>
      </w:r>
      <w:r>
        <w:t xml:space="preserve">Кодировка текущего соединения.</w:t>
      </w:r>
    </w:p>
    <w:p>
      <w:pPr>
        <w:pStyle w:val="BodyText"/>
      </w:pPr>
      <w:r>
        <w:rPr>
          <w:bCs/>
          <w:b/>
        </w:rPr>
        <w:t xml:space="preserve">Статистика и время работы</w:t>
      </w:r>
      <w:r>
        <w:br/>
      </w:r>
      <w:r>
        <w:t xml:space="preserve">Uptime: 8 min 2 sec</w:t>
      </w:r>
      <w:r>
        <w:br/>
      </w:r>
      <w:r>
        <w:t xml:space="preserve">Время работы сервера с момента последнего запуска.</w:t>
      </w:r>
      <w:r>
        <w:br/>
      </w:r>
      <w:r>
        <w:t xml:space="preserve">Threads: 1 Questions: 23 Slow queries: 0 Opens: 20 Open tables: 13 Queries per second avg: 0.047</w:t>
      </w:r>
      <w:r>
        <w:br/>
      </w:r>
      <w:r>
        <w:t xml:space="preserve">Краткая сводка производительности:</w:t>
      </w:r>
      <w:r>
        <w:br/>
      </w:r>
      <w:r>
        <w:t xml:space="preserve">одно активное подключение (поток);</w:t>
      </w:r>
      <w:r>
        <w:br/>
      </w:r>
      <w:r>
        <w:t xml:space="preserve">23 запроса с момента старта;</w:t>
      </w:r>
      <w:r>
        <w:br/>
      </w:r>
      <w:r>
        <w:t xml:space="preserve">0 медленных запросов;</w:t>
      </w:r>
      <w:r>
        <w:br/>
      </w:r>
      <w:r>
        <w:t xml:space="preserve">20 открытий файлов таблиц;</w:t>
      </w:r>
      <w:r>
        <w:br/>
      </w:r>
      <w:r>
        <w:t xml:space="preserve">13 открытых таблиц на текущий момент;</w:t>
      </w:r>
      <w:r>
        <w:br/>
      </w:r>
      <w:r>
        <w:t xml:space="preserve">0.047 — среднее число запросов в секунду (рис. 18).</w:t>
      </w:r>
    </w:p>
    <w:p>
      <w:pPr>
        <w:pStyle w:val="CaptionedFigure"/>
      </w:pPr>
      <w:r>
        <w:drawing>
          <wp:inline>
            <wp:extent cx="5334000" cy="5052948"/>
            <wp:effectExtent b="0" l="0" r="0" t="0"/>
            <wp:docPr descr="Статус БД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Статус БД</w:t>
      </w:r>
    </w:p>
    <w:p>
      <w:pPr>
        <w:pStyle w:val="BodyText"/>
      </w:pPr>
      <w:r>
        <w:t xml:space="preserve">Перейдём в /etc/my.cnf.d и создадим там файл utf8.cnf (рис. 19).</w:t>
      </w:r>
    </w:p>
    <w:p>
      <w:pPr>
        <w:pStyle w:val="CaptionedFigure"/>
      </w:pPr>
      <w:r>
        <w:drawing>
          <wp:inline>
            <wp:extent cx="5334000" cy="563033"/>
            <wp:effectExtent b="0" l="0" r="0" t="0"/>
            <wp:docPr descr="Создание файла конфигурации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файла конфигурации</w:t>
      </w:r>
    </w:p>
    <w:p>
      <w:pPr>
        <w:pStyle w:val="BodyText"/>
      </w:pPr>
      <w:r>
        <w:t xml:space="preserve">Запишем в него строки, задающие кодировку utf8 по умолчанию (рис. 20).</w:t>
      </w:r>
    </w:p>
    <w:p>
      <w:pPr>
        <w:pStyle w:val="CaptionedFigure"/>
      </w:pPr>
      <w:r>
        <w:drawing>
          <wp:inline>
            <wp:extent cx="5334000" cy="1455431"/>
            <wp:effectExtent b="0" l="0" r="0" t="0"/>
            <wp:docPr descr="Содержание файла utf8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Содержание файла utf8</w:t>
      </w:r>
    </w:p>
    <w:p>
      <w:pPr>
        <w:pStyle w:val="BodyText"/>
      </w:pPr>
      <w:r>
        <w:t xml:space="preserve">Перезапустим mariadb, снова войдём в БД и снова посмотрим статус: кодировка поменялась с latin1 на utf8 (рис. 21).</w:t>
      </w:r>
    </w:p>
    <w:p>
      <w:pPr>
        <w:pStyle w:val="CaptionedFigure"/>
      </w:pPr>
      <w:r>
        <w:drawing>
          <wp:inline>
            <wp:extent cx="5334000" cy="4945311"/>
            <wp:effectExtent b="0" l="0" r="0" t="0"/>
            <wp:docPr descr="Успешная смена кодировки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Успешная смена кодировки</w:t>
      </w:r>
    </w:p>
    <w:p>
      <w:pPr>
        <w:pStyle w:val="BodyText"/>
      </w:pPr>
      <w:r>
        <w:t xml:space="preserve">Создадим базу addressbook, перейдём в неё и убедимся, что она пуста. Затем создадим в ней таблицу city и добавим три записи: Иванов, Петров, Сидоров. Выведем таблицу (рис. 22).</w:t>
      </w:r>
    </w:p>
    <w:p>
      <w:pPr>
        <w:pStyle w:val="CaptionedFigure"/>
      </w:pPr>
      <w:r>
        <w:drawing>
          <wp:inline>
            <wp:extent cx="5334000" cy="4174434"/>
            <wp:effectExtent b="0" l="0" r="0" t="0"/>
            <wp:docPr descr="Наполнение таблицы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Наполнение таблицы</w:t>
      </w:r>
    </w:p>
    <w:p>
      <w:pPr>
        <w:pStyle w:val="BodyText"/>
      </w:pPr>
      <w:r>
        <w:t xml:space="preserve">Создадим пользователя dvkalashnikova и дадим ему доступ к этой таблице. Убедимся, что число баз выросло с 4 до 5. Затем попробуем показать базу addressbook от имени рута и от имени нового пользователя — обе операции проходят, значит, доступ у пользователя есть (рис. 23).</w:t>
      </w:r>
    </w:p>
    <w:p>
      <w:pPr>
        <w:pStyle w:val="CaptionedFigure"/>
      </w:pPr>
      <w:r>
        <w:drawing>
          <wp:inline>
            <wp:extent cx="5334000" cy="4392334"/>
            <wp:effectExtent b="0" l="0" r="0" t="0"/>
            <wp:docPr descr="Проверка прав доступа для нового пользователя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прав доступа для нового пользователя</w:t>
      </w:r>
    </w:p>
    <w:p>
      <w:pPr>
        <w:pStyle w:val="BodyText"/>
      </w:pPr>
      <w:r>
        <w:t xml:space="preserve">Попробуем сделать бэкапы и откатиться на них: создадим обычный, сжатый и с таймстемпом. Затем сохраним все конфиги в vagrant (рис. 24).</w:t>
      </w:r>
    </w:p>
    <w:p>
      <w:pPr>
        <w:pStyle w:val="CaptionedFigure"/>
      </w:pPr>
      <w:r>
        <w:drawing>
          <wp:inline>
            <wp:extent cx="5334000" cy="2652394"/>
            <wp:effectExtent b="0" l="0" r="0" t="0"/>
            <wp:docPr descr="Бэкапы и сохранение vagrant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Бэкапы и сохранение vagrant</w:t>
      </w:r>
    </w:p>
    <w:p>
      <w:pPr>
        <w:pStyle w:val="BodyText"/>
      </w:pPr>
      <w:r>
        <w:t xml:space="preserve">В скрипте mysql.sh пропишем следующие строки (рис. 25).</w:t>
      </w:r>
    </w:p>
    <w:p>
      <w:pPr>
        <w:pStyle w:val="CaptionedFigure"/>
      </w:pPr>
      <w:r>
        <w:drawing>
          <wp:inline>
            <wp:extent cx="5334000" cy="3786442"/>
            <wp:effectExtent b="0" l="0" r="0" t="0"/>
            <wp:docPr descr="mysql.sh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mysql.sh</w:t>
      </w:r>
    </w:p>
    <w:p>
      <w:pPr>
        <w:pStyle w:val="BodyText"/>
      </w:pPr>
      <w:r>
        <w:t xml:space="preserve">А в vagrantfile добавим автозагрузку этого скрипта (рис. 26).</w:t>
      </w:r>
    </w:p>
    <w:p>
      <w:pPr>
        <w:pStyle w:val="CaptionedFigure"/>
      </w:pPr>
      <w:r>
        <w:drawing>
          <wp:inline>
            <wp:extent cx="5334000" cy="665825"/>
            <wp:effectExtent b="0" l="0" r="0" t="0"/>
            <wp:docPr descr="Vagrantfile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Vagrantfile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получены навыки работы с базами данных и их настройкой.</w:t>
      </w:r>
    </w:p>
    <w:bookmarkEnd w:id="100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MariaDB Foundation. MariaDB Documentation [Электронный ресурс]. — URL: https://mariadb.com/kb/en/documentation/ (дата обращения: 07.10.2026).</w:t>
      </w:r>
    </w:p>
    <w:p>
      <w:pPr>
        <w:numPr>
          <w:ilvl w:val="0"/>
          <w:numId w:val="1001"/>
        </w:numPr>
      </w:pPr>
      <w:r>
        <w:t xml:space="preserve">MariaDB Foundation. MariaDB Server Configuration Files [Электронный ресурс]. — URL: https://mariadb.com/kb/en/configuring-mariadb-with-option-files/ (дата обращения: 07.10.2026).</w:t>
      </w:r>
    </w:p>
    <w:p>
      <w:pPr>
        <w:numPr>
          <w:ilvl w:val="0"/>
          <w:numId w:val="1001"/>
        </w:numPr>
      </w:pPr>
      <w:r>
        <w:t xml:space="preserve">Red Hat. Documentation [Электронный ресурс]. — URL: https://docs.redhat.com/ (дата обращения: 07.10.2026).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2026-10-07T16:43:54Z</dcterms:created>
  <dcterms:modified xsi:type="dcterms:W3CDTF">2026-10-07T16:43:54Z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