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8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установки и настройки SMTP-сервера.</w:t>
      </w:r>
    </w:p>
    <w:bookmarkEnd w:id="20"/>
    <w:bookmarkStart w:id="11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заходим на сервер под root и ставим postfix (рис. 1).</w:t>
      </w:r>
    </w:p>
    <w:p>
      <w:pPr>
        <w:pStyle w:val="CaptionedFigure"/>
      </w:pPr>
      <w:r>
        <w:drawing>
          <wp:inline>
            <wp:extent cx="5334000" cy="5404649"/>
            <wp:effectExtent b="0" l="0" r="0" t="0"/>
            <wp:docPr descr="Установка Postfix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4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Postfix</w:t>
      </w:r>
    </w:p>
    <w:p>
      <w:pPr>
        <w:pStyle w:val="BodyText"/>
      </w:pPr>
      <w:r>
        <w:t xml:space="preserve">Следом устанавливаем утилиту s-nail (рис. 2).</w:t>
      </w:r>
    </w:p>
    <w:p>
      <w:pPr>
        <w:pStyle w:val="CaptionedFigure"/>
      </w:pPr>
      <w:r>
        <w:drawing>
          <wp:inline>
            <wp:extent cx="5334000" cy="3735576"/>
            <wp:effectExtent b="0" l="0" r="0" t="0"/>
            <wp:docPr descr="Установка s-nail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s-nail</w:t>
      </w:r>
    </w:p>
    <w:p>
      <w:pPr>
        <w:pStyle w:val="BodyText"/>
      </w:pPr>
      <w:r>
        <w:t xml:space="preserve">Затем открываем в фаерволе доступ к smtp, восстанавливаем контексты selinux и запускаем postfix (рис. 3).</w:t>
      </w:r>
    </w:p>
    <w:p>
      <w:pPr>
        <w:pStyle w:val="CaptionedFigure"/>
      </w:pPr>
      <w:r>
        <w:drawing>
          <wp:inline>
            <wp:extent cx="5334000" cy="1345248"/>
            <wp:effectExtent b="0" l="0" r="0" t="0"/>
            <wp:docPr descr="Предварительная настройк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5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Предварительная настройка</w:t>
      </w:r>
    </w:p>
    <w:p>
      <w:pPr>
        <w:pStyle w:val="BodyText"/>
      </w:pPr>
      <w:r>
        <w:t xml:space="preserve">Выполняем postconf — команда выводит полный список параметров конфигурации. Вывод получается довольно объёмным (рис. 4).</w:t>
      </w:r>
    </w:p>
    <w:p>
      <w:pPr>
        <w:pStyle w:val="CaptionedFigure"/>
      </w:pPr>
      <w:r>
        <w:drawing>
          <wp:inline>
            <wp:extent cx="5334000" cy="4412074"/>
            <wp:effectExtent b="0" l="0" r="0" t="0"/>
            <wp:docPr descr="postconf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2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postconf</w:t>
      </w:r>
    </w:p>
    <w:p>
      <w:pPr>
        <w:pStyle w:val="BodyText"/>
      </w:pPr>
      <w:r>
        <w:t xml:space="preserve">Смотрим значения myorigin и mydomain. mydomain — это имя домена, а myorigin — имя хоста. Меняем myorigin на доменное имя, проверяем корректность конфигурации через postfix check и перезапускаем службу (рис. 5).</w:t>
      </w:r>
    </w:p>
    <w:p>
      <w:pPr>
        <w:pStyle w:val="CaptionedFigure"/>
      </w:pPr>
      <w:r>
        <w:drawing>
          <wp:inline>
            <wp:extent cx="5334000" cy="2457150"/>
            <wp:effectExtent b="0" l="0" r="0" t="0"/>
            <wp:docPr descr="Обновление конфигурации postfix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Обновление конфигурации postfix</w:t>
      </w:r>
    </w:p>
    <w:p>
      <w:pPr>
        <w:pStyle w:val="BodyText"/>
      </w:pPr>
      <w:r>
        <w:t xml:space="preserve">Командой postconf -n выводим только те настройки, которые отличаются от значений по умолчанию (рис. 6).</w:t>
      </w:r>
    </w:p>
    <w:p>
      <w:pPr>
        <w:pStyle w:val="CaptionedFigure"/>
      </w:pPr>
      <w:r>
        <w:drawing>
          <wp:inline>
            <wp:extent cx="5334000" cy="3866853"/>
            <wp:effectExtent b="0" l="0" r="0" t="0"/>
            <wp:docPr descr="postconf -n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6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postconf -n</w:t>
      </w:r>
    </w:p>
    <w:p>
      <w:pPr>
        <w:pStyle w:val="BodyText"/>
      </w:pPr>
      <w:r>
        <w:t xml:space="preserve">Жёстко фиксируем имя домена как наш домен. После этого смотрим, какие интернет-протоколы разрешены. Сейчас разрешены все — оставляем только ipv4 и перезапускаем postfix (рис. 7).</w:t>
      </w:r>
    </w:p>
    <w:p>
      <w:pPr>
        <w:pStyle w:val="CaptionedFigure"/>
      </w:pPr>
      <w:r>
        <w:drawing>
          <wp:inline>
            <wp:extent cx="5334000" cy="757989"/>
            <wp:effectExtent b="0" l="0" r="0" t="0"/>
            <wp:docPr descr="Обновление настроек протокол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Обновление настроек протоколов</w:t>
      </w:r>
    </w:p>
    <w:p>
      <w:pPr>
        <w:pStyle w:val="BodyText"/>
      </w:pPr>
      <w:r>
        <w:t xml:space="preserve">Пробуем отправить письмо самому себе со своей учётной записи (рис. 8).</w:t>
      </w:r>
    </w:p>
    <w:p>
      <w:pPr>
        <w:pStyle w:val="CaptionedFigure"/>
      </w:pPr>
      <w:r>
        <w:drawing>
          <wp:inline>
            <wp:extent cx="5334000" cy="252533"/>
            <wp:effectExtent b="0" l="0" r="0" t="0"/>
            <wp:docPr descr="Отправка письм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Отправка письма</w:t>
      </w:r>
    </w:p>
    <w:p>
      <w:pPr>
        <w:pStyle w:val="BodyText"/>
      </w:pPr>
      <w:r>
        <w:t xml:space="preserve">Открываем в отдельной вкладке лог из /var/log/maillog. Видим, что письмо доставлено — об этом говорит строка «delivered to mailbox» перед последней записью (рис. 9).</w:t>
      </w:r>
    </w:p>
    <w:p>
      <w:pPr>
        <w:pStyle w:val="CaptionedFigure"/>
      </w:pPr>
      <w:r>
        <w:drawing>
          <wp:inline>
            <wp:extent cx="5334000" cy="3027725"/>
            <wp:effectExtent b="0" l="0" r="0" t="0"/>
            <wp:docPr descr="Лог почт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Лог почты</w:t>
      </w:r>
    </w:p>
    <w:p>
      <w:pPr>
        <w:pStyle w:val="BodyText"/>
      </w:pPr>
      <w:r>
        <w:t xml:space="preserve">Также проверяем, что в /var/spool/mail появились файлы пользователей (рис. 10).</w:t>
      </w:r>
    </w:p>
    <w:p>
      <w:pPr>
        <w:pStyle w:val="CaptionedFigure"/>
      </w:pPr>
      <w:r>
        <w:drawing>
          <wp:inline>
            <wp:extent cx="5334000" cy="393125"/>
            <wp:effectExtent b="0" l="0" r="0" t="0"/>
            <wp:docPr descr="/var/spool/mail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/var/spool/mail</w:t>
      </w:r>
    </w:p>
    <w:p>
      <w:pPr>
        <w:pStyle w:val="BodyText"/>
      </w:pPr>
      <w:r>
        <w:t xml:space="preserve">Переходим на клиентскую машину, заходим под root и тоже устанавливаем postfix (рис. 11).</w:t>
      </w:r>
    </w:p>
    <w:p>
      <w:pPr>
        <w:pStyle w:val="CaptionedFigure"/>
      </w:pPr>
      <w:r>
        <w:drawing>
          <wp:inline>
            <wp:extent cx="5334000" cy="4847472"/>
            <wp:effectExtent b="0" l="0" r="0" t="0"/>
            <wp:docPr descr="Установка Postfix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Установка Postfix</w:t>
      </w:r>
    </w:p>
    <w:p>
      <w:pPr>
        <w:pStyle w:val="BodyText"/>
      </w:pPr>
      <w:r>
        <w:t xml:space="preserve">Ставим и s-nail (рис. 12).</w:t>
      </w:r>
    </w:p>
    <w:p>
      <w:pPr>
        <w:pStyle w:val="CaptionedFigure"/>
      </w:pPr>
      <w:r>
        <w:drawing>
          <wp:inline>
            <wp:extent cx="5334000" cy="4547689"/>
            <wp:effectExtent b="0" l="0" r="0" t="0"/>
            <wp:docPr descr="Установка s-nail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7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s-nail</w:t>
      </w:r>
    </w:p>
    <w:p>
      <w:pPr>
        <w:pStyle w:val="BodyText"/>
      </w:pPr>
      <w:r>
        <w:t xml:space="preserve">На клиенте повторяем действия с сервера: оставляем только ipv4 и перезапускаем postfix (рис. 13).</w:t>
      </w:r>
    </w:p>
    <w:p>
      <w:pPr>
        <w:pStyle w:val="CaptionedFigure"/>
      </w:pPr>
      <w:r>
        <w:drawing>
          <wp:inline>
            <wp:extent cx="5334000" cy="872226"/>
            <wp:effectExtent b="0" l="0" r="0" t="0"/>
            <wp:docPr descr="Настройка протоколов на клиенте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протоколов на клиенте</w:t>
      </w:r>
    </w:p>
    <w:p>
      <w:pPr>
        <w:pStyle w:val="BodyText"/>
      </w:pPr>
      <w:r>
        <w:t xml:space="preserve">Отправляем с клиента письмо на сервер (рис. 14).</w:t>
      </w:r>
    </w:p>
    <w:p>
      <w:pPr>
        <w:pStyle w:val="CaptionedFigure"/>
      </w:pPr>
      <w:r>
        <w:drawing>
          <wp:inline>
            <wp:extent cx="5334000" cy="580042"/>
            <wp:effectExtent b="0" l="0" r="0" t="0"/>
            <wp:docPr descr="Отправка письм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Отправка письма</w:t>
      </w:r>
    </w:p>
    <w:p>
      <w:pPr>
        <w:pStyle w:val="BodyText"/>
      </w:pPr>
      <w:r>
        <w:t xml:space="preserve">На сервере в логах ничего нового не появляется (рис. 15).</w:t>
      </w:r>
    </w:p>
    <w:p>
      <w:pPr>
        <w:pStyle w:val="CaptionedFigure"/>
      </w:pPr>
      <w:r>
        <w:drawing>
          <wp:inline>
            <wp:extent cx="5334000" cy="1870207"/>
            <wp:effectExtent b="0" l="0" r="0" t="0"/>
            <wp:docPr descr="Логи почты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Логи почты</w:t>
      </w:r>
    </w:p>
    <w:p>
      <w:pPr>
        <w:pStyle w:val="BodyText"/>
      </w:pPr>
      <w:r>
        <w:t xml:space="preserve">Разрешаем другим устройствам в сети отправлять почту на сервер. Для этого меняем inet_interfaces с localhost на all и добавляем в mynetworks нашу локальную сеть 192.168.0.0, после чего перезапускаем postfix (рис. 16).</w:t>
      </w:r>
    </w:p>
    <w:p>
      <w:pPr>
        <w:pStyle w:val="CaptionedFigure"/>
      </w:pPr>
      <w:r>
        <w:drawing>
          <wp:inline>
            <wp:extent cx="5334000" cy="1261946"/>
            <wp:effectExtent b="0" l="0" r="0" t="0"/>
            <wp:docPr descr="Включение получения писем из локальной сети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Включение получения писем из локальной сети</w:t>
      </w:r>
    </w:p>
    <w:p>
      <w:pPr>
        <w:pStyle w:val="BodyText"/>
      </w:pPr>
      <w:r>
        <w:t xml:space="preserve">Снова пробуем отправить письмо с клиента (рис. 17).</w:t>
      </w:r>
    </w:p>
    <w:p>
      <w:pPr>
        <w:pStyle w:val="CaptionedFigure"/>
      </w:pPr>
      <w:r>
        <w:drawing>
          <wp:inline>
            <wp:extent cx="5334000" cy="441556"/>
            <wp:effectExtent b="0" l="0" r="0" t="0"/>
            <wp:docPr descr="Повторная отправка письм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Повторная отправка письма</w:t>
      </w:r>
    </w:p>
    <w:p>
      <w:pPr>
        <w:pStyle w:val="BodyText"/>
      </w:pPr>
      <w:r>
        <w:t xml:space="preserve">Теперь в логах видно новое письмо. Указано «delivered to mailbox» — доставка успешна (рис. 18).</w:t>
      </w:r>
    </w:p>
    <w:p>
      <w:pPr>
        <w:pStyle w:val="CaptionedFigure"/>
      </w:pPr>
      <w:r>
        <w:drawing>
          <wp:inline>
            <wp:extent cx="5334000" cy="2319130"/>
            <wp:effectExtent b="0" l="0" r="0" t="0"/>
            <wp:docPr descr="Успешная отправка письма согласно логам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Успешная отправка письма согласно логам</w:t>
      </w:r>
    </w:p>
    <w:p>
      <w:pPr>
        <w:pStyle w:val="BodyText"/>
      </w:pPr>
      <w:r>
        <w:t xml:space="preserve">Пробуем отправить письмо не на устройство, а пользователю (рис. 19).</w:t>
      </w:r>
    </w:p>
    <w:p>
      <w:pPr>
        <w:pStyle w:val="CaptionedFigure"/>
      </w:pPr>
      <w:r>
        <w:drawing>
          <wp:inline>
            <wp:extent cx="5334000" cy="437507"/>
            <wp:effectExtent b="0" l="0" r="0" t="0"/>
            <wp:docPr descr="Отправка письма пользователю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Отправка письма пользователю</w:t>
      </w:r>
    </w:p>
    <w:p>
      <w:pPr>
        <w:pStyle w:val="BodyText"/>
      </w:pPr>
      <w:r>
        <w:t xml:space="preserve">Письмо не доставляется — нет информации о почтовом сервере (No route to host) (рис. 20).</w:t>
      </w:r>
    </w:p>
    <w:p>
      <w:pPr>
        <w:pStyle w:val="CaptionedFigure"/>
      </w:pPr>
      <w:r>
        <w:drawing>
          <wp:inline>
            <wp:extent cx="5334000" cy="2281766"/>
            <wp:effectExtent b="0" l="0" r="0" t="0"/>
            <wp:docPr descr="Неуспешная доставка письм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Неуспешная доставка письма</w:t>
      </w:r>
    </w:p>
    <w:p>
      <w:pPr>
        <w:pStyle w:val="BodyText"/>
      </w:pPr>
      <w:r>
        <w:t xml:space="preserve">Информацию о зависшем письме смотрим командой postqueue -p (рис. 21).</w:t>
      </w:r>
    </w:p>
    <w:p>
      <w:pPr>
        <w:pStyle w:val="CaptionedFigure"/>
      </w:pPr>
      <w:r>
        <w:drawing>
          <wp:inline>
            <wp:extent cx="4350618" cy="269507"/>
            <wp:effectExtent b="0" l="0" r="0" t="0"/>
            <wp:docPr descr="postqueue -p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8" cy="269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postqueue -p</w:t>
      </w:r>
    </w:p>
    <w:p>
      <w:pPr>
        <w:pStyle w:val="BodyText"/>
      </w:pPr>
      <w:r>
        <w:t xml:space="preserve">Теперь правим файлы прямой и обратной зоны, чтобы добавить данные о почтовом сервере. В файле прямой зоны появляется запись о почтовом сервере (рис. 22).</w:t>
      </w:r>
    </w:p>
    <w:p>
      <w:pPr>
        <w:pStyle w:val="CaptionedFigure"/>
      </w:pPr>
      <w:r>
        <w:drawing>
          <wp:inline>
            <wp:extent cx="5334000" cy="2765238"/>
            <wp:effectExtent b="0" l="0" r="0" t="0"/>
            <wp:docPr descr="Файл прямой зоны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Файл прямой зоны</w:t>
      </w:r>
    </w:p>
    <w:p>
      <w:pPr>
        <w:pStyle w:val="BodyText"/>
      </w:pPr>
      <w:r>
        <w:t xml:space="preserve">В файле обратной зоны — соответствующие изменения (рис. 23).</w:t>
      </w:r>
    </w:p>
    <w:p>
      <w:pPr>
        <w:pStyle w:val="CaptionedFigure"/>
      </w:pPr>
      <w:r>
        <w:drawing>
          <wp:inline>
            <wp:extent cx="5334000" cy="3257112"/>
            <wp:effectExtent b="0" l="0" r="0" t="0"/>
            <wp:docPr descr="Файл обратной зоны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Файл обратной зоны</w:t>
      </w:r>
    </w:p>
    <w:p>
      <w:pPr>
        <w:pStyle w:val="BodyText"/>
      </w:pPr>
      <w:r>
        <w:t xml:space="preserve">Обновляем список пунктов назначения, добавив туда сервер, перезапускаем postfix, обновляем метки selinux и перезапускаем dns-сервер. Затем командой postqueue -f выгружаем очередь сообщений (рис. 24).</w:t>
      </w:r>
    </w:p>
    <w:p>
      <w:pPr>
        <w:pStyle w:val="CaptionedFigure"/>
      </w:pPr>
      <w:r>
        <w:drawing>
          <wp:inline>
            <wp:extent cx="5334000" cy="997897"/>
            <wp:effectExtent b="0" l="0" r="0" t="0"/>
            <wp:docPr descr="Обновление списков назначения почты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Обновление списков назначения почты</w:t>
      </w:r>
    </w:p>
    <w:p>
      <w:pPr>
        <w:pStyle w:val="BodyText"/>
      </w:pPr>
      <w:r>
        <w:t xml:space="preserve">Теперь в логах видно, что письмо доставлено (рис. 25).</w:t>
      </w:r>
    </w:p>
    <w:p>
      <w:pPr>
        <w:pStyle w:val="CaptionedFigure"/>
      </w:pPr>
      <w:r>
        <w:drawing>
          <wp:inline>
            <wp:extent cx="5334000" cy="2761826"/>
            <wp:effectExtent b="0" l="0" r="0" t="0"/>
            <wp:docPr descr="Лог об успешно доставленном письме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Лог об успешно доставленном письме</w:t>
      </w:r>
    </w:p>
    <w:p>
      <w:pPr>
        <w:pStyle w:val="BodyText"/>
      </w:pPr>
      <w:r>
        <w:t xml:space="preserve">Сохраняем конфигурацию для vagrant с сервера и создаём файл mail.sh (рис. 26).</w:t>
      </w:r>
    </w:p>
    <w:p>
      <w:pPr>
        <w:pStyle w:val="CaptionedFigure"/>
      </w:pPr>
      <w:r>
        <w:drawing>
          <wp:inline>
            <wp:extent cx="5334000" cy="3089348"/>
            <wp:effectExtent b="0" l="0" r="0" t="0"/>
            <wp:docPr descr="Сохранение конфигурации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Сохранение конфигурации</w:t>
      </w:r>
    </w:p>
    <w:p>
      <w:pPr>
        <w:pStyle w:val="BodyText"/>
      </w:pPr>
      <w:r>
        <w:t xml:space="preserve">В mail.sh записываем скрипт (рис. 27).</w:t>
      </w:r>
    </w:p>
    <w:p>
      <w:pPr>
        <w:pStyle w:val="CaptionedFigure"/>
      </w:pPr>
      <w:r>
        <w:drawing>
          <wp:inline>
            <wp:extent cx="5334000" cy="3764788"/>
            <wp:effectExtent b="0" l="0" r="0" t="0"/>
            <wp:docPr descr="mail.sh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mail.sh</w:t>
      </w:r>
    </w:p>
    <w:p>
      <w:pPr>
        <w:pStyle w:val="BodyText"/>
      </w:pPr>
      <w:r>
        <w:t xml:space="preserve">Переключаемся на клиент и тоже создаём для него mail.sh (рис. 28).</w:t>
      </w:r>
    </w:p>
    <w:p>
      <w:pPr>
        <w:pStyle w:val="CaptionedFigure"/>
      </w:pPr>
      <w:r>
        <w:drawing>
          <wp:inline>
            <wp:extent cx="5334000" cy="771525"/>
            <wp:effectExtent b="0" l="0" r="0" t="0"/>
            <wp:docPr descr="Создание скрипта mail.sh для клиента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Создание скрипта mail.sh для клиента</w:t>
      </w:r>
    </w:p>
    <w:p>
      <w:pPr>
        <w:pStyle w:val="BodyText"/>
      </w:pPr>
      <w:r>
        <w:t xml:space="preserve">Скрипт для клиента выглядит так (рис. 29).</w:t>
      </w:r>
    </w:p>
    <w:p>
      <w:pPr>
        <w:pStyle w:val="CaptionedFigure"/>
      </w:pPr>
      <w:r>
        <w:drawing>
          <wp:inline>
            <wp:extent cx="5334000" cy="2085545"/>
            <wp:effectExtent b="0" l="0" r="0" t="0"/>
            <wp:docPr descr="mail.sh для клиента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mail.sh для клиента</w:t>
      </w:r>
    </w:p>
    <w:p>
      <w:pPr>
        <w:pStyle w:val="BodyText"/>
      </w:pPr>
      <w:r>
        <w:t xml:space="preserve">В vagrantfile добавляем запуск этих скриптов для клиента и сервера (рис. 30).</w:t>
      </w:r>
    </w:p>
    <w:p>
      <w:pPr>
        <w:pStyle w:val="CaptionedFigure"/>
      </w:pPr>
      <w:r>
        <w:drawing>
          <wp:inline>
            <wp:extent cx="5334000" cy="3847271"/>
            <wp:effectExtent b="0" l="0" r="0" t="0"/>
            <wp:docPr descr="vagrantfile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7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vagrantfile</w:t>
      </w:r>
    </w:p>
    <w:bookmarkEnd w:id="111"/>
    <w:bookmarkStart w:id="11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получены навыки настройки SMTP-сервера.</w:t>
      </w:r>
    </w:p>
    <w:bookmarkEnd w:id="112"/>
    <w:bookmarkStart w:id="11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Postfix Project. Postfix Documentation [Электронный ресурс]. — URL: https://www.postfix.org/documentation.html (дата обращения: 13.10.2026).</w:t>
      </w:r>
    </w:p>
    <w:p>
      <w:pPr>
        <w:numPr>
          <w:ilvl w:val="0"/>
          <w:numId w:val="1001"/>
        </w:numPr>
      </w:pPr>
      <w:r>
        <w:t xml:space="preserve">Red Hat. Configuring email servers on Red Hat Enterprise Linux [Электронный ресурс]. — URL: https://docs.redhat.com/ (дата обращения: 13.10.2026).</w:t>
      </w:r>
    </w:p>
    <w:p>
      <w:pPr>
        <w:numPr>
          <w:ilvl w:val="0"/>
          <w:numId w:val="1001"/>
        </w:numPr>
      </w:pPr>
      <w:r>
        <w:t xml:space="preserve">IETF. RFC 5321: Simple Mail Transfer Protocol [Электронный ресурс]. — URL: https://datatracker.ietf.org/doc/html/rfc5321 (дата обращения: 13.10.2026).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2026-10-22T17:20:37Z</dcterms:created>
  <dcterms:modified xsi:type="dcterms:W3CDTF">2026-10-22T17:20:37Z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8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