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9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установки и первичной настройки почтового сервера POP3/IMAP.</w:t>
      </w:r>
    </w:p>
    <w:bookmarkEnd w:id="20"/>
    <w:bookmarkStart w:id="9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Заходим на виртуальную машину server и ставим пакеты dovecot и telnet (рис. 1).</w:t>
      </w:r>
    </w:p>
    <w:p>
      <w:pPr>
        <w:pStyle w:val="CaptionedFigure"/>
      </w:pPr>
      <w:r>
        <w:drawing>
          <wp:inline>
            <wp:extent cx="5334000" cy="2429933"/>
            <wp:effectExtent b="0" l="0" r="0" t="0"/>
            <wp:docPr descr="Установка dovecot и telnet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9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dovecot и telnet</w:t>
      </w:r>
    </w:p>
    <w:p>
      <w:pPr>
        <w:pStyle w:val="BodyText"/>
      </w:pPr>
      <w:r>
        <w:t xml:space="preserve">Открываем конфигурационный файл /etc/dovecot/dovecot.conf и прописываем в параметр protocols два почтовых протокола, которые используются в этой работе — imap и pop3 (рис. 2).</w:t>
      </w:r>
    </w:p>
    <w:p>
      <w:pPr>
        <w:pStyle w:val="CaptionedFigure"/>
      </w:pPr>
      <w:r>
        <w:drawing>
          <wp:inline>
            <wp:extent cx="5334000" cy="3413168"/>
            <wp:effectExtent b="0" l="0" r="0" t="0"/>
            <wp:docPr descr="Задавание протоколов для dovecot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Задавание протоколов для dovecot</w:t>
      </w:r>
    </w:p>
    <w:p>
      <w:pPr>
        <w:pStyle w:val="BodyText"/>
      </w:pPr>
      <w:r>
        <w:t xml:space="preserve">Переходим в /etc/dovecot/conf.d/10-auth.conf и проверяем, что параметр auth_mechanisms установлен в значение plain (рис. 3).</w:t>
      </w:r>
    </w:p>
    <w:p>
      <w:pPr>
        <w:pStyle w:val="CaptionedFigure"/>
      </w:pPr>
      <w:r>
        <w:drawing>
          <wp:inline>
            <wp:extent cx="5334000" cy="2649100"/>
            <wp:effectExtent b="0" l="0" r="0" t="0"/>
            <wp:docPr descr="/etc/conf.d/10-auth.conf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/etc/conf.d/10-auth.conf</w:t>
      </w:r>
    </w:p>
    <w:p>
      <w:pPr>
        <w:pStyle w:val="BodyText"/>
      </w:pPr>
      <w:r>
        <w:t xml:space="preserve">Открываем /etc/dovecot/conf.d/auth-system.conf.ext и удостоверяемся, что параметр driver для passwd равен pam (рис. 4).</w:t>
      </w:r>
    </w:p>
    <w:p>
      <w:pPr>
        <w:pStyle w:val="CaptionedFigure"/>
      </w:pPr>
      <w:r>
        <w:drawing>
          <wp:inline>
            <wp:extent cx="5334000" cy="1915356"/>
            <wp:effectExtent b="0" l="0" r="0" t="0"/>
            <wp:docPr descr="/etc/conf.d/auth-system.conf.ext, driver для passwd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5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/etc/conf.d/auth-system.conf.ext, driver для passwd</w:t>
      </w:r>
    </w:p>
    <w:p>
      <w:pPr>
        <w:pStyle w:val="BodyText"/>
      </w:pPr>
      <w:r>
        <w:t xml:space="preserve">В том же файле смотрим, что driver для userdb соответствует значению passwd (рис. 5).</w:t>
      </w:r>
    </w:p>
    <w:p>
      <w:pPr>
        <w:pStyle w:val="CaptionedFigure"/>
      </w:pPr>
      <w:r>
        <w:drawing>
          <wp:inline>
            <wp:extent cx="5334000" cy="1806524"/>
            <wp:effectExtent b="0" l="0" r="0" t="0"/>
            <wp:docPr descr="/etc/conf.d/auth-system.conf.ext, driver для userdb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6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/etc/conf.d/auth-system.conf.ext, driver для userdb</w:t>
      </w:r>
    </w:p>
    <w:p>
      <w:pPr>
        <w:pStyle w:val="BodyText"/>
      </w:pPr>
      <w:r>
        <w:t xml:space="preserve">Открываем /etc/dovecot/conf.d/10-mail.conf и задаём нужный параметр для mail_location (рис. 6).</w:t>
      </w:r>
    </w:p>
    <w:p>
      <w:pPr>
        <w:pStyle w:val="CaptionedFigure"/>
      </w:pPr>
      <w:r>
        <w:drawing>
          <wp:inline>
            <wp:extent cx="5334000" cy="3774209"/>
            <wp:effectExtent b="0" l="0" r="0" t="0"/>
            <wp:docPr descr="/etc/dovecot/conf.d/10-mail.conf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4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/etc/dovecot/conf.d/10-mail.conf</w:t>
      </w:r>
    </w:p>
    <w:p>
      <w:pPr>
        <w:pStyle w:val="BodyText"/>
      </w:pPr>
      <w:r>
        <w:t xml:space="preserve">Теперь настраиваем postfix. Устанавливаем home_mailbox равным Maildir (рис. 7).</w:t>
      </w:r>
    </w:p>
    <w:p>
      <w:pPr>
        <w:pStyle w:val="CaptionedFigure"/>
      </w:pPr>
      <w:r>
        <w:drawing>
          <wp:inline>
            <wp:extent cx="5334000" cy="189078"/>
            <wp:effectExtent b="0" l="0" r="0" t="0"/>
            <wp:docPr descr="postconf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postconf</w:t>
      </w:r>
    </w:p>
    <w:p>
      <w:pPr>
        <w:pStyle w:val="BodyText"/>
      </w:pPr>
      <w:r>
        <w:t xml:space="preserve">Настраиваем firewall, разрешая работу протоколов pop3 и imap (рис. 8).</w:t>
      </w:r>
    </w:p>
    <w:p>
      <w:pPr>
        <w:pStyle w:val="CaptionedFigure"/>
      </w:pPr>
      <w:r>
        <w:drawing>
          <wp:inline>
            <wp:extent cx="5334000" cy="4476083"/>
            <wp:effectExtent b="0" l="0" r="0" t="0"/>
            <wp:docPr descr="Настройка firewall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6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firewall</w:t>
      </w:r>
    </w:p>
    <w:p>
      <w:pPr>
        <w:pStyle w:val="BodyText"/>
      </w:pPr>
      <w:r>
        <w:t xml:space="preserve">Затем восстанавливаем метки SELinux, перезапускаем postfix и включаем dovecot (рис. 9).</w:t>
      </w:r>
    </w:p>
    <w:p>
      <w:pPr>
        <w:pStyle w:val="CaptionedFigure"/>
      </w:pPr>
      <w:r>
        <w:drawing>
          <wp:inline>
            <wp:extent cx="5334000" cy="822325"/>
            <wp:effectExtent b="0" l="0" r="0" t="0"/>
            <wp:docPr descr="Запуск служб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2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Запуск служб</w:t>
      </w:r>
    </w:p>
    <w:p>
      <w:pPr>
        <w:pStyle w:val="BodyText"/>
      </w:pPr>
      <w:r>
        <w:t xml:space="preserve">В отдельном терминале начинаем в реальном времени следить за логом почтовой службы из файла /var/log/maillog (рис. 10).</w:t>
      </w:r>
    </w:p>
    <w:p>
      <w:pPr>
        <w:pStyle w:val="CaptionedFigure"/>
      </w:pPr>
      <w:r>
        <w:drawing>
          <wp:inline>
            <wp:extent cx="5334000" cy="951709"/>
            <wp:effectExtent b="0" l="0" r="0" t="0"/>
            <wp:docPr descr="Лог /var/log/maillog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1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Лог /var/log/maillog</w:t>
      </w:r>
    </w:p>
    <w:p>
      <w:pPr>
        <w:pStyle w:val="BodyText"/>
      </w:pPr>
      <w:r>
        <w:t xml:space="preserve">Командами mail и doveadm смотрим информацию о почте и почтовом ящике. У пользователя присутствует ящик INBOX (это видно по doveadm). Вывод команды mail показывает, что папки с почтой для нашего пользователя нет — причина в том, что ему ещё не приходило ни одного письма, из-за чего папка не создалась (рис. 11).</w:t>
      </w:r>
    </w:p>
    <w:p>
      <w:pPr>
        <w:pStyle w:val="CaptionedFigure"/>
      </w:pPr>
      <w:r>
        <w:drawing>
          <wp:inline>
            <wp:extent cx="5334000" cy="1207698"/>
            <wp:effectExtent b="0" l="0" r="0" t="0"/>
            <wp:docPr descr="mail и doveadm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7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mail и doveadm</w:t>
      </w:r>
    </w:p>
    <w:p>
      <w:pPr>
        <w:pStyle w:val="BodyText"/>
      </w:pPr>
      <w:r>
        <w:t xml:space="preserve">Теперь включаем машину client. Устанавливаем на неё почтовый клиент evolution (рис. 12).</w:t>
      </w:r>
    </w:p>
    <w:p>
      <w:pPr>
        <w:pStyle w:val="CaptionedFigure"/>
      </w:pPr>
      <w:r>
        <w:drawing>
          <wp:inline>
            <wp:extent cx="5334000" cy="853143"/>
            <wp:effectExtent b="0" l="0" r="0" t="0"/>
            <wp:docPr descr="Установка evolution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evolution</w:t>
      </w:r>
    </w:p>
    <w:p>
      <w:pPr>
        <w:pStyle w:val="BodyText"/>
      </w:pPr>
      <w:r>
        <w:t xml:space="preserve">После запуска программы появляется окно с предложением настроить клиент. Во вкладке identity вводим свои данные (рис. 13).</w:t>
      </w:r>
    </w:p>
    <w:p>
      <w:pPr>
        <w:pStyle w:val="CaptionedFigure"/>
      </w:pPr>
      <w:r>
        <w:drawing>
          <wp:inline>
            <wp:extent cx="5334000" cy="3805603"/>
            <wp:effectExtent b="0" l="0" r="0" t="0"/>
            <wp:docPr descr="Заполнение вкладки identity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5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Заполнение вкладки identity</w:t>
      </w:r>
    </w:p>
    <w:p>
      <w:pPr>
        <w:pStyle w:val="BodyText"/>
      </w:pPr>
      <w:r>
        <w:t xml:space="preserve">Во вкладке receiving email настраиваем входящую почту. Отвечать за неё будет протокол imap на порту 143. Аутентификация — простая по паролю, шифрование — STARTTLS after connecting (рис. 14).</w:t>
      </w:r>
    </w:p>
    <w:p>
      <w:pPr>
        <w:pStyle w:val="CaptionedFigure"/>
      </w:pPr>
      <w:r>
        <w:drawing>
          <wp:inline>
            <wp:extent cx="5334000" cy="3855166"/>
            <wp:effectExtent b="0" l="0" r="0" t="0"/>
            <wp:docPr descr="Заполнение вкладки receiving email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5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Заполнение вкладки receiving email</w:t>
      </w:r>
    </w:p>
    <w:p>
      <w:pPr>
        <w:pStyle w:val="BodyText"/>
      </w:pPr>
      <w:r>
        <w:t xml:space="preserve">Заполняем вкладку sending email. Это исходящая почта: за отправку отвечает протокол pop3 на порту 25, без шифрования и авторизации (рис. 15).</w:t>
      </w:r>
    </w:p>
    <w:p>
      <w:pPr>
        <w:pStyle w:val="CaptionedFigure"/>
      </w:pPr>
      <w:r>
        <w:drawing>
          <wp:inline>
            <wp:extent cx="5334000" cy="3868955"/>
            <wp:effectExtent b="0" l="0" r="0" t="0"/>
            <wp:docPr descr="Заполнение вкладки sending email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8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Заполнение вкладки sending email</w:t>
      </w:r>
    </w:p>
    <w:p>
      <w:pPr>
        <w:pStyle w:val="BodyText"/>
      </w:pPr>
      <w:r>
        <w:t xml:space="preserve">В account summary убеждаемся, что всё настроено правильно (рис. 16).</w:t>
      </w:r>
    </w:p>
    <w:p>
      <w:pPr>
        <w:pStyle w:val="CaptionedFigure"/>
      </w:pPr>
      <w:r>
        <w:drawing>
          <wp:inline>
            <wp:extent cx="5334000" cy="3861486"/>
            <wp:effectExtent b="0" l="0" r="0" t="0"/>
            <wp:docPr descr="account summary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1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account summary</w:t>
      </w:r>
    </w:p>
    <w:p>
      <w:pPr>
        <w:pStyle w:val="BodyText"/>
      </w:pPr>
      <w:r>
        <w:t xml:space="preserve">Пишем себе первое письмо — с темой test и телом test (рис. 17).</w:t>
      </w:r>
    </w:p>
    <w:p>
      <w:pPr>
        <w:pStyle w:val="CaptionedFigure"/>
      </w:pPr>
      <w:r>
        <w:drawing>
          <wp:inline>
            <wp:extent cx="5026002" cy="3619233"/>
            <wp:effectExtent b="0" l="0" r="0" t="0"/>
            <wp:docPr descr="Отправка первого письма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002" cy="3619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Отправка первого письма</w:t>
      </w:r>
    </w:p>
    <w:p>
      <w:pPr>
        <w:pStyle w:val="BodyText"/>
      </w:pPr>
      <w:r>
        <w:t xml:space="preserve">Пишем второе письмо — с темой test2 и без тела (рис. 18).</w:t>
      </w:r>
    </w:p>
    <w:p>
      <w:pPr>
        <w:pStyle w:val="CaptionedFigure"/>
      </w:pPr>
      <w:r>
        <w:drawing>
          <wp:inline>
            <wp:extent cx="5141102" cy="3913376"/>
            <wp:effectExtent b="0" l="0" r="0" t="0"/>
            <wp:docPr descr="Отправка второго письма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102" cy="3913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Отправка второго письма</w:t>
      </w:r>
    </w:p>
    <w:p>
      <w:pPr>
        <w:pStyle w:val="BodyText"/>
      </w:pPr>
      <w:r>
        <w:t xml:space="preserve">Проверяем, что письма ушли и успешно доставлены. Об этом говорит их появление в ящике inbox — значит, доставка прошла удачно (рис. 19).</w:t>
      </w:r>
    </w:p>
    <w:p>
      <w:pPr>
        <w:pStyle w:val="CaptionedFigure"/>
      </w:pPr>
      <w:r>
        <w:drawing>
          <wp:inline>
            <wp:extent cx="5334000" cy="1123569"/>
            <wp:effectExtent b="0" l="0" r="0" t="0"/>
            <wp:docPr descr="Проверка отправки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3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Проверка отправки</w:t>
      </w:r>
    </w:p>
    <w:p>
      <w:pPr>
        <w:pStyle w:val="BodyText"/>
      </w:pPr>
      <w:r>
        <w:t xml:space="preserve">Смотрим, что появилось в логах на сервере. Сервер успешно обработал два письма с разными идентификаторами — 896BE2044481 и EFFC82044481. Об успешной отправке свидетельствуют записи delivered to maildir (рис. 20).</w:t>
      </w:r>
    </w:p>
    <w:p>
      <w:pPr>
        <w:pStyle w:val="CaptionedFigure"/>
      </w:pPr>
      <w:r>
        <w:drawing>
          <wp:inline>
            <wp:extent cx="5334000" cy="3051166"/>
            <wp:effectExtent b="0" l="0" r="0" t="0"/>
            <wp:docPr descr="Почтовый лог сервера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1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Почтовый лог сервера</w:t>
      </w:r>
    </w:p>
    <w:p>
      <w:pPr>
        <w:pStyle w:val="BodyText"/>
      </w:pPr>
      <w:r>
        <w:t xml:space="preserve">Теперь смотрим вывод mail и doveadm. mail показывает два письма с теми темами, которые мы задавали, а doveadm сообщает о наличии почтового ящика inbox (рис. 21).</w:t>
      </w:r>
    </w:p>
    <w:p>
      <w:pPr>
        <w:pStyle w:val="CaptionedFigure"/>
      </w:pPr>
      <w:r>
        <w:drawing>
          <wp:inline>
            <wp:extent cx="5334000" cy="1401576"/>
            <wp:effectExtent b="0" l="0" r="0" t="0"/>
            <wp:docPr descr="mail и doveadm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1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mail и doveadm</w:t>
      </w:r>
    </w:p>
    <w:p>
      <w:pPr>
        <w:pStyle w:val="BodyText"/>
      </w:pPr>
      <w:r>
        <w:t xml:space="preserve">Далее подключаемся к почтовому серверу через telnet. Логинимся под нашим пользователем. Команда list выводит список из двух элементов — наших писем. Командой retr читаем содержимое первого письма: там есть данные о том, куда отправить, кому доставлено, от кого получено, айди, тема, дата, тело и прочие характеристики. Командой dele удаляем второе сообщение и выходим через quit (рис. 22).</w:t>
      </w:r>
    </w:p>
    <w:p>
      <w:pPr>
        <w:pStyle w:val="CaptionedFigure"/>
      </w:pPr>
      <w:r>
        <w:drawing>
          <wp:inline>
            <wp:extent cx="5334000" cy="4995333"/>
            <wp:effectExtent b="0" l="0" r="0" t="0"/>
            <wp:docPr descr="Работа с почтой через telnet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5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Работа с почтой через telnet</w:t>
      </w:r>
    </w:p>
    <w:p>
      <w:pPr>
        <w:pStyle w:val="BodyText"/>
      </w:pPr>
      <w:r>
        <w:t xml:space="preserve">Сохраняем все конфигурации в vagrant. Кроме того, модифицируем скрипт mail.sh (рис. 23).</w:t>
      </w:r>
    </w:p>
    <w:p>
      <w:pPr>
        <w:pStyle w:val="CaptionedFigure"/>
      </w:pPr>
      <w:r>
        <w:drawing>
          <wp:inline>
            <wp:extent cx="5334000" cy="1760809"/>
            <wp:effectExtent b="0" l="0" r="0" t="0"/>
            <wp:docPr descr="Сохранение конфигурации на сервере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0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Сохранение конфигурации на сервере</w:t>
      </w:r>
    </w:p>
    <w:p>
      <w:pPr>
        <w:pStyle w:val="BodyText"/>
      </w:pPr>
      <w:r>
        <w:t xml:space="preserve">В mail.sh добавляем строки, отвечающие за установку пакетов, настройку фаервола, настройку postfix и его перезапуск, а также запуск службы dovecot (рис. 24).</w:t>
      </w:r>
    </w:p>
    <w:p>
      <w:pPr>
        <w:pStyle w:val="CaptionedFigure"/>
      </w:pPr>
      <w:r>
        <w:drawing>
          <wp:inline>
            <wp:extent cx="5334000" cy="4628364"/>
            <wp:effectExtent b="0" l="0" r="0" t="0"/>
            <wp:docPr descr="mail.sh на сервере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8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mail.sh на сервере</w:t>
      </w:r>
    </w:p>
    <w:p>
      <w:pPr>
        <w:pStyle w:val="BodyText"/>
      </w:pPr>
      <w:r>
        <w:t xml:space="preserve">На клиенте тоже редактируем mail.sh: добавляем строку об установке почтового клиента evolution (рис. 25).</w:t>
      </w:r>
    </w:p>
    <w:p>
      <w:pPr>
        <w:pStyle w:val="CaptionedFigure"/>
      </w:pPr>
      <w:r>
        <w:drawing>
          <wp:inline>
            <wp:extent cx="5334000" cy="3153507"/>
            <wp:effectExtent b="0" l="0" r="0" t="0"/>
            <wp:docPr descr="mail.sh на клиенте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3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mail.sh на клиенте</w:t>
      </w:r>
    </w:p>
    <w:bookmarkEnd w:id="96"/>
    <w:bookmarkStart w:id="9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получены навыки настройки и использования простейшего imap/pop3 сервера.</w:t>
      </w:r>
    </w:p>
    <w:bookmarkEnd w:id="97"/>
    <w:bookmarkStart w:id="98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Dovecot Project. Dovecot Documentation [Электронный ресурс]. — URL: https://doc.dovecot.org/ (дата обращения: 13.10.2026).</w:t>
      </w:r>
    </w:p>
    <w:p>
      <w:pPr>
        <w:numPr>
          <w:ilvl w:val="0"/>
          <w:numId w:val="1001"/>
        </w:numPr>
      </w:pPr>
      <w:r>
        <w:t xml:space="preserve">Postfix Project. Postfix Documentation [Электронный ресурс]. — URL: https://www.postfix.org/documentation.html (дата обращения: 13.10.2026).</w:t>
      </w:r>
    </w:p>
    <w:p>
      <w:pPr>
        <w:numPr>
          <w:ilvl w:val="0"/>
          <w:numId w:val="1001"/>
        </w:numPr>
      </w:pPr>
      <w:r>
        <w:t xml:space="preserve">IETF. RFC 3501: Internet Message Access Protocol (IMAP) [Электронный ресурс]. — URL: https://datatracker.ietf.org/doc/html/rfc3501 (дата обращения: 13.10.2026).</w:t>
      </w:r>
    </w:p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Калашникова Дарья Викторовна</dc:creator>
  <dc:language>ru-RU</dc:language>
  <cp:keywords/>
  <dcterms:created xsi:type="dcterms:W3CDTF">2026-10-29T12:45:11Z</dcterms:created>
  <dcterms:modified xsi:type="dcterms:W3CDTF">2026-10-29T12:45:11Z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9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