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D280" w14:textId="77777777" w:rsidR="005D10AC" w:rsidRDefault="00000000">
      <w:pPr>
        <w:jc w:val="center"/>
      </w:pPr>
      <w:r>
        <w:rPr>
          <w:b/>
          <w:color w:val="0A192F"/>
          <w:sz w:val="44"/>
        </w:rPr>
        <w:t>STIP / LTIP Scenario Analysis Platform</w:t>
      </w:r>
    </w:p>
    <w:p w14:paraId="19A757BD" w14:textId="77777777" w:rsidR="005D10AC" w:rsidRDefault="00000000">
      <w:pPr>
        <w:jc w:val="center"/>
      </w:pPr>
      <w:r>
        <w:rPr>
          <w:color w:val="FF6B00"/>
          <w:sz w:val="32"/>
        </w:rPr>
        <w:t>Phase 2 Build Specification</w:t>
      </w:r>
    </w:p>
    <w:p w14:paraId="43DD9C0A" w14:textId="77777777" w:rsidR="005D10AC" w:rsidRDefault="00000000">
      <w:pPr>
        <w:jc w:val="center"/>
      </w:pPr>
      <w:r>
        <w:rPr>
          <w:color w:val="0A192F"/>
          <w:sz w:val="22"/>
        </w:rPr>
        <w:t>May 2026</w:t>
      </w:r>
    </w:p>
    <w:p w14:paraId="27B8162F" w14:textId="77777777" w:rsidR="005D10AC" w:rsidRDefault="005D10AC"/>
    <w:tbl>
      <w:tblPr>
        <w:tblStyle w:val="TableGrid"/>
        <w:tblW w:w="0" w:type="auto"/>
        <w:tblLook w:val="04A0" w:firstRow="1" w:lastRow="0" w:firstColumn="1" w:lastColumn="0" w:noHBand="0" w:noVBand="1"/>
      </w:tblPr>
      <w:tblGrid>
        <w:gridCol w:w="4464"/>
        <w:gridCol w:w="4464"/>
      </w:tblGrid>
      <w:tr w:rsidR="005D10AC" w14:paraId="6F40BC2E" w14:textId="77777777">
        <w:tc>
          <w:tcPr>
            <w:tcW w:w="4464" w:type="dxa"/>
            <w:shd w:val="clear" w:color="auto" w:fill="0A192F"/>
          </w:tcPr>
          <w:p w14:paraId="5C37C7CA" w14:textId="77777777" w:rsidR="005D10AC" w:rsidRDefault="00000000">
            <w:r>
              <w:rPr>
                <w:b/>
                <w:color w:val="FFFFFF"/>
                <w:sz w:val="18"/>
              </w:rPr>
              <w:t>FRONTEND</w:t>
            </w:r>
          </w:p>
        </w:tc>
        <w:tc>
          <w:tcPr>
            <w:tcW w:w="4464" w:type="dxa"/>
            <w:shd w:val="clear" w:color="auto" w:fill="0A192F"/>
          </w:tcPr>
          <w:p w14:paraId="62F86B7E" w14:textId="77777777" w:rsidR="005D10AC" w:rsidRDefault="00000000">
            <w:r>
              <w:rPr>
                <w:b/>
                <w:color w:val="FFFFFF"/>
                <w:sz w:val="18"/>
              </w:rPr>
              <w:t>BACKEND</w:t>
            </w:r>
          </w:p>
        </w:tc>
      </w:tr>
      <w:tr w:rsidR="005D10AC" w14:paraId="0C340340" w14:textId="77777777">
        <w:tc>
          <w:tcPr>
            <w:tcW w:w="4464" w:type="dxa"/>
            <w:shd w:val="clear" w:color="auto" w:fill="F5F5F5"/>
          </w:tcPr>
          <w:p w14:paraId="218010C5" w14:textId="77777777" w:rsidR="005D10AC" w:rsidRDefault="00000000">
            <w:r>
              <w:rPr>
                <w:sz w:val="18"/>
              </w:rPr>
              <w:t>React + TypeScript | Recharts | Tailwind CSS</w:t>
            </w:r>
          </w:p>
        </w:tc>
        <w:tc>
          <w:tcPr>
            <w:tcW w:w="4464" w:type="dxa"/>
            <w:shd w:val="clear" w:color="auto" w:fill="F5F5F5"/>
          </w:tcPr>
          <w:p w14:paraId="49102A4F" w14:textId="77777777" w:rsidR="005D10AC" w:rsidRDefault="00000000">
            <w:r>
              <w:rPr>
                <w:sz w:val="18"/>
              </w:rPr>
              <w:t>Python 3.11 + FastAPI | NumPy / SciPy / Pandas | openpyxl</w:t>
            </w:r>
          </w:p>
        </w:tc>
      </w:tr>
    </w:tbl>
    <w:p w14:paraId="426D6CF7" w14:textId="77777777" w:rsidR="005D10AC" w:rsidRDefault="005D10AC"/>
    <w:p w14:paraId="7AFA1AD7" w14:textId="77777777" w:rsidR="005D10AC" w:rsidRDefault="005D10AC">
      <w:pPr>
        <w:pBdr>
          <w:bottom w:val="single" w:sz="6" w:space="1" w:color="FF6B00"/>
        </w:pBdr>
        <w:spacing w:before="40"/>
      </w:pPr>
    </w:p>
    <w:p w14:paraId="67E4A583" w14:textId="77777777" w:rsidR="005D10AC" w:rsidRDefault="00000000">
      <w:pPr>
        <w:spacing w:before="280" w:after="80"/>
      </w:pPr>
      <w:r>
        <w:rPr>
          <w:b/>
          <w:color w:val="0A192F"/>
          <w:sz w:val="28"/>
        </w:rPr>
        <w:t>Context</w:t>
      </w:r>
    </w:p>
    <w:p w14:paraId="49AE72B9" w14:textId="77777777" w:rsidR="005D10AC" w:rsidRDefault="00000000">
      <w:pPr>
        <w:spacing w:after="100"/>
      </w:pPr>
      <w:r>
        <w:t>This document outlines the Phase 2 enhancements to the STIP/LTIP Scenario Analysis Platform. The platform was built as a local consulting tool to model short- and long-term incentive plan designs for executive compensation clients. Phase 1 established the core simulation engine, Black-Scholes option pricing, and rTSR/internal-metric PSU modeling.</w:t>
      </w:r>
    </w:p>
    <w:p w14:paraId="4473FEC5" w14:textId="77777777" w:rsidR="005D10AC" w:rsidRDefault="00000000">
      <w:pPr>
        <w:spacing w:after="100"/>
      </w:pPr>
      <w:r>
        <w:t>Phase 2 adds enhancements that expand the platform's instrument coverage and analytical depth. The changes are designed to keep the platform general-purpose — applicable to any client — while enabling design scenarios that were previously impossible to model.</w:t>
      </w:r>
    </w:p>
    <w:p w14:paraId="3101A40F" w14:textId="77777777" w:rsidR="005D10AC" w:rsidRDefault="005D10AC">
      <w:pPr>
        <w:pBdr>
          <w:bottom w:val="single" w:sz="6" w:space="1" w:color="FF6B00"/>
        </w:pBdr>
        <w:spacing w:before="40"/>
      </w:pPr>
    </w:p>
    <w:p w14:paraId="26FF9AC8" w14:textId="77777777" w:rsidR="005D10AC" w:rsidRDefault="00000000">
      <w:pPr>
        <w:spacing w:before="280" w:after="80"/>
      </w:pPr>
      <w:r>
        <w:rPr>
          <w:b/>
          <w:color w:val="0A192F"/>
          <w:sz w:val="28"/>
        </w:rPr>
        <w:t>What Currently Exists</w:t>
      </w:r>
    </w:p>
    <w:p w14:paraId="36E1C180" w14:textId="77777777" w:rsidR="005D10AC" w:rsidRDefault="00000000">
      <w:pPr>
        <w:spacing w:after="100"/>
      </w:pPr>
      <w:r>
        <w:t>The platform has two modules — STIP and LTIP — each backed by a Monte Carlo simulation engine.</w:t>
      </w:r>
    </w:p>
    <w:p w14:paraId="0DC912FC" w14:textId="77777777" w:rsidR="005D10AC" w:rsidRDefault="00000000">
      <w:pPr>
        <w:spacing w:after="100"/>
      </w:pPr>
      <w:r>
        <w:rPr>
          <w:b/>
        </w:rPr>
        <w:t>LTIP Engine (the focus of Phase 2):</w:t>
      </w:r>
    </w:p>
    <w:tbl>
      <w:tblPr>
        <w:tblStyle w:val="TableGrid"/>
        <w:tblW w:w="0" w:type="auto"/>
        <w:tblLook w:val="04A0" w:firstRow="1" w:lastRow="0" w:firstColumn="1" w:lastColumn="0" w:noHBand="0" w:noVBand="1"/>
      </w:tblPr>
      <w:tblGrid>
        <w:gridCol w:w="1872"/>
        <w:gridCol w:w="4032"/>
        <w:gridCol w:w="3024"/>
      </w:tblGrid>
      <w:tr w:rsidR="005D10AC" w14:paraId="7603AE51" w14:textId="77777777">
        <w:tc>
          <w:tcPr>
            <w:tcW w:w="1872" w:type="dxa"/>
            <w:shd w:val="clear" w:color="auto" w:fill="0A192F"/>
          </w:tcPr>
          <w:p w14:paraId="75EA0BF6" w14:textId="77777777" w:rsidR="005D10AC" w:rsidRDefault="00000000">
            <w:r>
              <w:rPr>
                <w:b/>
                <w:color w:val="FFFFFF"/>
                <w:sz w:val="18"/>
              </w:rPr>
              <w:t>Vehicle</w:t>
            </w:r>
          </w:p>
        </w:tc>
        <w:tc>
          <w:tcPr>
            <w:tcW w:w="4032" w:type="dxa"/>
            <w:shd w:val="clear" w:color="auto" w:fill="0A192F"/>
          </w:tcPr>
          <w:p w14:paraId="2ED9C1F9" w14:textId="77777777" w:rsidR="005D10AC" w:rsidRDefault="00000000">
            <w:r>
              <w:rPr>
                <w:b/>
                <w:color w:val="FFFFFF"/>
                <w:sz w:val="18"/>
              </w:rPr>
              <w:t>How it's valued</w:t>
            </w:r>
          </w:p>
        </w:tc>
        <w:tc>
          <w:tcPr>
            <w:tcW w:w="3024" w:type="dxa"/>
            <w:shd w:val="clear" w:color="auto" w:fill="0A192F"/>
          </w:tcPr>
          <w:p w14:paraId="72F32C9E" w14:textId="77777777" w:rsidR="005D10AC" w:rsidRDefault="00000000">
            <w:r>
              <w:rPr>
                <w:b/>
                <w:color w:val="FFFFFF"/>
                <w:sz w:val="18"/>
              </w:rPr>
              <w:t>How it vests</w:t>
            </w:r>
          </w:p>
        </w:tc>
      </w:tr>
      <w:tr w:rsidR="005D10AC" w14:paraId="7942C5F7" w14:textId="77777777">
        <w:tc>
          <w:tcPr>
            <w:tcW w:w="1872" w:type="dxa"/>
            <w:shd w:val="clear" w:color="auto" w:fill="F5F5F5"/>
          </w:tcPr>
          <w:p w14:paraId="064362A0" w14:textId="77777777" w:rsidR="005D10AC" w:rsidRDefault="00000000">
            <w:r>
              <w:rPr>
                <w:sz w:val="18"/>
              </w:rPr>
              <w:t>RSUs</w:t>
            </w:r>
          </w:p>
        </w:tc>
        <w:tc>
          <w:tcPr>
            <w:tcW w:w="4032" w:type="dxa"/>
            <w:shd w:val="clear" w:color="auto" w:fill="F5F5F5"/>
          </w:tcPr>
          <w:p w14:paraId="622B37B7" w14:textId="77777777" w:rsidR="005D10AC" w:rsidRDefault="00000000">
            <w:r>
              <w:rPr>
                <w:sz w:val="18"/>
              </w:rPr>
              <w:t>Units x terminal share price</w:t>
            </w:r>
          </w:p>
        </w:tc>
        <w:tc>
          <w:tcPr>
            <w:tcW w:w="3024" w:type="dxa"/>
            <w:shd w:val="clear" w:color="auto" w:fill="F5F5F5"/>
          </w:tcPr>
          <w:p w14:paraId="2F054C09" w14:textId="77777777" w:rsidR="005D10AC" w:rsidRDefault="00000000">
            <w:r>
              <w:rPr>
                <w:sz w:val="18"/>
              </w:rPr>
              <w:t>Time-based (cliff or graded)</w:t>
            </w:r>
          </w:p>
        </w:tc>
      </w:tr>
      <w:tr w:rsidR="005D10AC" w14:paraId="6A0D058A" w14:textId="77777777">
        <w:tc>
          <w:tcPr>
            <w:tcW w:w="1872" w:type="dxa"/>
            <w:shd w:val="clear" w:color="auto" w:fill="FFFFFF"/>
          </w:tcPr>
          <w:p w14:paraId="11B186A0" w14:textId="77777777" w:rsidR="005D10AC" w:rsidRDefault="00000000">
            <w:r>
              <w:rPr>
                <w:sz w:val="18"/>
              </w:rPr>
              <w:t>PSUs</w:t>
            </w:r>
          </w:p>
        </w:tc>
        <w:tc>
          <w:tcPr>
            <w:tcW w:w="4032" w:type="dxa"/>
            <w:shd w:val="clear" w:color="auto" w:fill="FFFFFF"/>
          </w:tcPr>
          <w:p w14:paraId="62865F32" w14:textId="77777777" w:rsidR="005D10AC" w:rsidRDefault="00000000">
            <w:r>
              <w:rPr>
                <w:sz w:val="18"/>
              </w:rPr>
              <w:t>Units x terminal price x multiplier</w:t>
            </w:r>
          </w:p>
        </w:tc>
        <w:tc>
          <w:tcPr>
            <w:tcW w:w="3024" w:type="dxa"/>
            <w:shd w:val="clear" w:color="auto" w:fill="FFFFFF"/>
          </w:tcPr>
          <w:p w14:paraId="57FEEE69" w14:textId="77777777" w:rsidR="005D10AC" w:rsidRDefault="00000000">
            <w:r>
              <w:rPr>
                <w:sz w:val="18"/>
              </w:rPr>
              <w:t>Multiplier from rTSR vs. peers, internal metric, or both</w:t>
            </w:r>
          </w:p>
        </w:tc>
      </w:tr>
      <w:tr w:rsidR="005D10AC" w14:paraId="584521B3" w14:textId="77777777">
        <w:tc>
          <w:tcPr>
            <w:tcW w:w="1872" w:type="dxa"/>
            <w:shd w:val="clear" w:color="auto" w:fill="F5F5F5"/>
          </w:tcPr>
          <w:p w14:paraId="109A5F58" w14:textId="77777777" w:rsidR="005D10AC" w:rsidRDefault="00000000">
            <w:r>
              <w:rPr>
                <w:sz w:val="18"/>
              </w:rPr>
              <w:t>Standard Options</w:t>
            </w:r>
          </w:p>
        </w:tc>
        <w:tc>
          <w:tcPr>
            <w:tcW w:w="4032" w:type="dxa"/>
            <w:shd w:val="clear" w:color="auto" w:fill="F5F5F5"/>
          </w:tcPr>
          <w:p w14:paraId="0D486F24" w14:textId="77777777" w:rsidR="005D10AC" w:rsidRDefault="00000000">
            <w:r>
              <w:rPr>
                <w:sz w:val="18"/>
              </w:rPr>
              <w:t>Units x max(S_T - K, 0)</w:t>
            </w:r>
          </w:p>
        </w:tc>
        <w:tc>
          <w:tcPr>
            <w:tcW w:w="3024" w:type="dxa"/>
            <w:shd w:val="clear" w:color="auto" w:fill="F5F5F5"/>
          </w:tcPr>
          <w:p w14:paraId="2EDC6616" w14:textId="77777777" w:rsidR="005D10AC" w:rsidRDefault="00000000">
            <w:r>
              <w:rPr>
                <w:sz w:val="18"/>
              </w:rPr>
              <w:t>Time-based (cliff or graded)</w:t>
            </w:r>
          </w:p>
        </w:tc>
      </w:tr>
    </w:tbl>
    <w:p w14:paraId="6F2AA358" w14:textId="77777777" w:rsidR="005D10AC" w:rsidRDefault="005D10AC"/>
    <w:p w14:paraId="51C96692" w14:textId="77777777" w:rsidR="005D10AC" w:rsidRDefault="00000000">
      <w:pPr>
        <w:spacing w:after="100"/>
      </w:pPr>
      <w:r>
        <w:t>The simulation runs a correlated Geometric Brownian Motion (GBM) across the company and all uploaded peer companies, drawing from the Cholesky decomposition of a historical correlation matrix. All volatility and growth rate assumptions for peers are pulled from the Excel upload (historical data). The company's expected growth rate (CAGR) is the one user-supplied forward-looking input.</w:t>
      </w:r>
    </w:p>
    <w:p w14:paraId="3670D5C4" w14:textId="77777777" w:rsidR="005D10AC" w:rsidRDefault="00000000">
      <w:pPr>
        <w:spacing w:after="100"/>
      </w:pPr>
      <w:r>
        <w:rPr>
          <w:b/>
        </w:rPr>
        <w:t>Current limitations being addressed in Phase 2:</w:t>
      </w:r>
    </w:p>
    <w:p w14:paraId="21C59B2B" w14:textId="77777777" w:rsidR="005D10AC" w:rsidRDefault="00000000">
      <w:pPr>
        <w:pStyle w:val="ListBullet"/>
        <w:spacing w:after="60"/>
        <w:ind w:left="432"/>
      </w:pPr>
      <w:r>
        <w:t>No instrument type exists where vesting is conditional on a financial metric hurdle (e.g. ROE, EBIT Margin)</w:t>
      </w:r>
    </w:p>
    <w:p w14:paraId="34DE87BB" w14:textId="77777777" w:rsidR="005D10AC" w:rsidRDefault="00000000">
      <w:pPr>
        <w:pStyle w:val="ListBullet"/>
        <w:spacing w:after="60"/>
        <w:ind w:left="432"/>
      </w:pPr>
      <w:r>
        <w:t>No instrument type supports stock price hurdle vesting on a PSU</w:t>
      </w:r>
    </w:p>
    <w:p w14:paraId="5809D2DF" w14:textId="77777777" w:rsidR="005D10AC" w:rsidRDefault="00000000">
      <w:pPr>
        <w:pStyle w:val="ListBullet"/>
        <w:spacing w:after="60"/>
        <w:ind w:left="432"/>
      </w:pPr>
      <w:r>
        <w:t>All volatility and peer growth rate assumptions are backward-looking with no override path</w:t>
      </w:r>
    </w:p>
    <w:p w14:paraId="0BEB88DC" w14:textId="77777777" w:rsidR="005D10AC" w:rsidRDefault="00000000">
      <w:pPr>
        <w:pStyle w:val="ListBullet"/>
        <w:spacing w:after="60"/>
        <w:ind w:left="432"/>
      </w:pPr>
      <w:r>
        <w:t>The PSU curve designer applies one curve per vehicle type — per-metric curves are not supported</w:t>
      </w:r>
    </w:p>
    <w:p w14:paraId="65EE1D36" w14:textId="77777777" w:rsidR="005D10AC" w:rsidRDefault="00000000">
      <w:pPr>
        <w:pStyle w:val="ListBullet"/>
        <w:spacing w:after="60"/>
        <w:ind w:left="432"/>
      </w:pPr>
      <w:r>
        <w:lastRenderedPageBreak/>
        <w:t>The STIP scorecard applies one global payout curve to all metrics — per-metric curves are not supported</w:t>
      </w:r>
    </w:p>
    <w:p w14:paraId="7AE390C8" w14:textId="77777777" w:rsidR="005D10AC" w:rsidRDefault="00000000">
      <w:pPr>
        <w:pStyle w:val="ListBullet"/>
        <w:spacing w:after="60"/>
        <w:ind w:left="432"/>
      </w:pPr>
      <w:r>
        <w:t>Results show aggregate payout totals — per-vehicle contribution is not broken out visually</w:t>
      </w:r>
    </w:p>
    <w:p w14:paraId="073645A4" w14:textId="77777777" w:rsidR="005D10AC" w:rsidRDefault="00000000">
      <w:pPr>
        <w:pStyle w:val="ListBullet"/>
        <w:spacing w:after="60"/>
        <w:ind w:left="432"/>
      </w:pPr>
      <w:r>
        <w:t>The simulation does not output goal-setting probability tables — it only shows payout given fixed goals</w:t>
      </w:r>
    </w:p>
    <w:p w14:paraId="481A5728" w14:textId="77777777" w:rsidR="005D10AC" w:rsidRDefault="005D10AC">
      <w:pPr>
        <w:pBdr>
          <w:bottom w:val="single" w:sz="6" w:space="1" w:color="FF6B00"/>
        </w:pBdr>
        <w:spacing w:before="40"/>
      </w:pPr>
    </w:p>
    <w:p w14:paraId="358E6450" w14:textId="77777777" w:rsidR="005D10AC" w:rsidRDefault="00000000">
      <w:pPr>
        <w:spacing w:before="280" w:after="80"/>
      </w:pPr>
      <w:r>
        <w:rPr>
          <w:b/>
          <w:color w:val="FF6B00"/>
          <w:sz w:val="28"/>
        </w:rPr>
        <w:t>Priority 1 — Performance Stock Options (Financial Metric Hurdle)</w:t>
      </w:r>
    </w:p>
    <w:p w14:paraId="32AB0F2E" w14:textId="77777777" w:rsidR="005D10AC" w:rsidRDefault="00000000">
      <w:pPr>
        <w:spacing w:after="100"/>
      </w:pPr>
      <w:r>
        <w:rPr>
          <w:b/>
        </w:rPr>
        <w:t>Overview</w:t>
      </w:r>
    </w:p>
    <w:p w14:paraId="67722170" w14:textId="77777777" w:rsidR="005D10AC" w:rsidRDefault="00000000">
      <w:pPr>
        <w:spacing w:after="100"/>
      </w:pPr>
      <w:r>
        <w:t>A performance stock option is a standard stock option with an additional vesting gate: the option only vests (partially or fully) if a specified financial metric clears a performance hurdle during the performance period. Unlike a price-hurdle option, the gate here is an internal operating metric such as Return on Equity (ROE), EBIT Margin, ROIC, or Revenue Growth.</w:t>
      </w:r>
    </w:p>
    <w:p w14:paraId="2079BBB4" w14:textId="77777777" w:rsidR="005D10AC" w:rsidRDefault="00000000">
      <w:pPr>
        <w:spacing w:after="100"/>
      </w:pPr>
      <w:r>
        <w:t>The option still behaves like a regular option once vested — its value is driven by the stock price. But whether it vests, and how much of it vests, is determined by the financial metric simulation.</w:t>
      </w:r>
    </w:p>
    <w:p w14:paraId="79229F16" w14:textId="77777777" w:rsidR="005D10AC" w:rsidRDefault="00000000">
      <w:pPr>
        <w:spacing w:after="100"/>
      </w:pPr>
      <w:r>
        <w:rPr>
          <w:b/>
        </w:rPr>
        <w:t>The dual condition:</w:t>
      </w:r>
    </w:p>
    <w:p w14:paraId="403DFFC2" w14:textId="77777777" w:rsidR="005D10AC" w:rsidRDefault="00000000">
      <w:pPr>
        <w:pStyle w:val="ListBullet"/>
        <w:spacing w:after="60"/>
        <w:ind w:left="432"/>
      </w:pPr>
      <w:r>
        <w:t>The financial metric must clear at least the threshold -&gt; some fraction of options vest</w:t>
      </w:r>
    </w:p>
    <w:p w14:paraId="25899D8E" w14:textId="77777777" w:rsidR="005D10AC" w:rsidRDefault="00000000">
      <w:pPr>
        <w:pStyle w:val="ListBullet"/>
        <w:spacing w:after="60"/>
        <w:ind w:left="432"/>
      </w:pPr>
      <w:r>
        <w:t>The stock price at exercise must be above the strike price -&gt; those vested options are in the money</w:t>
      </w:r>
    </w:p>
    <w:p w14:paraId="2B6E0F87" w14:textId="77777777" w:rsidR="005D10AC" w:rsidRDefault="00000000">
      <w:pPr>
        <w:spacing w:after="100"/>
      </w:pPr>
      <w:r>
        <w:t>If the metric clears but the stock is flat or down, the options vest but are underwater. If the stock doubles but the metric misses completely, the options never vest.</w:t>
      </w:r>
    </w:p>
    <w:p w14:paraId="385677B3" w14:textId="77777777" w:rsidR="005D10AC" w:rsidRDefault="00000000">
      <w:pPr>
        <w:spacing w:after="100"/>
      </w:pPr>
      <w:r>
        <w:rPr>
          <w:b/>
        </w:rPr>
        <w:t>Annual Tranches:</w:t>
      </w:r>
    </w:p>
    <w:p w14:paraId="683AD6B5" w14:textId="77777777" w:rsidR="005D10AC" w:rsidRDefault="00000000">
      <w:pPr>
        <w:spacing w:after="100"/>
      </w:pPr>
      <w:r>
        <w:t>Each year of the performance period is tested independently. Each year's options tranche (1/N of the total grant) vests at the rate determined by that year's curve result. A bad year does not forfeit future years. Since each year carries equal weight (1/N), total vesting equals the average of the annual payout percentages.</w:t>
      </w:r>
    </w:p>
    <w:p w14:paraId="344BBEF0" w14:textId="77777777" w:rsidR="005D10AC" w:rsidRDefault="00000000">
      <w:pPr>
        <w:spacing w:after="100"/>
      </w:pPr>
      <w:r>
        <w:rPr>
          <w:b/>
        </w:rPr>
        <w:t>Period Average:</w:t>
      </w:r>
    </w:p>
    <w:p w14:paraId="58E8C737" w14:textId="77777777" w:rsidR="005D10AC" w:rsidRDefault="00000000">
      <w:pPr>
        <w:spacing w:after="100"/>
      </w:pPr>
      <w:r>
        <w:t>The metric is simulated year by year, but the test happens only once at the end using the average value across all years. One outcome, one payout percentage, applied to the full option grant.</w:t>
      </w:r>
    </w:p>
    <w:p w14:paraId="752F7480" w14:textId="77777777" w:rsidR="005D10AC" w:rsidRDefault="00000000">
      <w:pPr>
        <w:spacing w:after="100"/>
      </w:pPr>
      <w:r>
        <w:rPr>
          <w:b/>
        </w:rPr>
        <w:t>How the Financial Metric Simulation Works</w:t>
      </w:r>
    </w:p>
    <w:p w14:paraId="38954571" w14:textId="77777777" w:rsidR="005D10AC" w:rsidRDefault="00000000">
      <w:pPr>
        <w:spacing w:after="100"/>
      </w:pPr>
      <w:r>
        <w:t>GBM — for metrics that grow multiplicatively (Revenue, EBIT):</w:t>
      </w:r>
    </w:p>
    <w:p w14:paraId="5195CC1A" w14:textId="77777777" w:rsidR="005D10AC" w:rsidRDefault="00000000">
      <w:pPr>
        <w:shd w:val="clear" w:color="auto" w:fill="F0F0F0"/>
        <w:spacing w:before="80" w:after="160"/>
        <w:ind w:left="360"/>
      </w:pPr>
      <w:r>
        <w:rPr>
          <w:rFonts w:ascii="Courier New" w:hAnsi="Courier New"/>
          <w:sz w:val="17"/>
        </w:rPr>
        <w:t>X_T = X_0 x exp((g - sigma^2/2) x T + sigma x sqrt(T) x Z)</w:t>
      </w:r>
      <w:r>
        <w:rPr>
          <w:rFonts w:ascii="Courier New" w:hAnsi="Courier New"/>
          <w:sz w:val="17"/>
        </w:rPr>
        <w:br/>
      </w:r>
    </w:p>
    <w:p w14:paraId="7AC3E94B" w14:textId="77777777" w:rsidR="005D10AC" w:rsidRDefault="00000000">
      <w:pPr>
        <w:spacing w:after="100"/>
      </w:pPr>
      <w:r>
        <w:t>EAGR — for ratio metrics near a natural mean (ROE %, EBIT Margin %):</w:t>
      </w:r>
    </w:p>
    <w:p w14:paraId="48D9D902" w14:textId="77777777" w:rsidR="005D10AC" w:rsidRDefault="00000000">
      <w:pPr>
        <w:shd w:val="clear" w:color="auto" w:fill="F0F0F0"/>
        <w:spacing w:before="80" w:after="160"/>
        <w:ind w:left="360"/>
      </w:pPr>
      <w:r>
        <w:rPr>
          <w:rFonts w:ascii="Courier New" w:hAnsi="Courier New"/>
          <w:sz w:val="17"/>
        </w:rPr>
        <w:t>X_T = X_0 + X_0 x g + sigma x sqrt(T) x Z</w:t>
      </w:r>
      <w:r>
        <w:rPr>
          <w:rFonts w:ascii="Courier New" w:hAnsi="Courier New"/>
          <w:sz w:val="17"/>
        </w:rPr>
        <w:br/>
      </w:r>
    </w:p>
    <w:p w14:paraId="6866F7D1" w14:textId="77777777" w:rsidR="005D10AC" w:rsidRDefault="00000000">
      <w:pPr>
        <w:spacing w:after="100"/>
      </w:pPr>
      <w:r>
        <w:rPr>
          <w:b/>
        </w:rPr>
        <w:t>Payout Curve and Hurdles</w:t>
      </w:r>
    </w:p>
    <w:p w14:paraId="513E01D0" w14:textId="77777777" w:rsidR="005D10AC" w:rsidRDefault="00000000">
      <w:pPr>
        <w:spacing w:after="100"/>
      </w:pPr>
      <w:r>
        <w:t>The hurdles and the payout curve are the same thing described two different ways. The curve defines three bend points:</w:t>
      </w:r>
    </w:p>
    <w:p w14:paraId="52D87030" w14:textId="77777777" w:rsidR="005D10AC" w:rsidRDefault="00000000">
      <w:pPr>
        <w:shd w:val="clear" w:color="auto" w:fill="F0F0F0"/>
        <w:spacing w:before="80" w:after="160"/>
        <w:ind w:left="360"/>
      </w:pPr>
      <w:r>
        <w:rPr>
          <w:rFonts w:ascii="Courier New" w:hAnsi="Courier New"/>
          <w:sz w:val="17"/>
        </w:rPr>
        <w:t>Below Threshold  -&gt;  0% vests</w:t>
      </w:r>
      <w:r>
        <w:rPr>
          <w:rFonts w:ascii="Courier New" w:hAnsi="Courier New"/>
          <w:sz w:val="17"/>
        </w:rPr>
        <w:br/>
        <w:t>At Threshold     -&gt;  Threshold payout % (e.g. 25%)</w:t>
      </w:r>
      <w:r>
        <w:rPr>
          <w:rFonts w:ascii="Courier New" w:hAnsi="Courier New"/>
          <w:sz w:val="17"/>
        </w:rPr>
        <w:br/>
        <w:t>At Target        -&gt;  Target payout % (e.g. 100%)</w:t>
      </w:r>
      <w:r>
        <w:rPr>
          <w:rFonts w:ascii="Courier New" w:hAnsi="Courier New"/>
          <w:sz w:val="17"/>
        </w:rPr>
        <w:br/>
        <w:t>At or above Max  -&gt;  Maximum payout % (e.g. 100%)</w:t>
      </w:r>
      <w:r>
        <w:rPr>
          <w:rFonts w:ascii="Courier New" w:hAnsi="Courier New"/>
          <w:sz w:val="17"/>
        </w:rPr>
        <w:br/>
      </w:r>
      <w:r>
        <w:rPr>
          <w:rFonts w:ascii="Courier New" w:hAnsi="Courier New"/>
          <w:sz w:val="17"/>
        </w:rPr>
        <w:lastRenderedPageBreak/>
        <w:t>Between points   -&gt;  Linear interpolation</w:t>
      </w:r>
      <w:r>
        <w:rPr>
          <w:rFonts w:ascii="Courier New" w:hAnsi="Courier New"/>
          <w:sz w:val="17"/>
        </w:rPr>
        <w:br/>
      </w:r>
    </w:p>
    <w:p w14:paraId="5454C34B" w14:textId="77777777" w:rsidR="005D10AC" w:rsidRDefault="00000000">
      <w:pPr>
        <w:spacing w:after="100"/>
      </w:pPr>
      <w:r>
        <w:t>For annual tranches, the curve can vary by year. Year-by-year curves are entered through a tabbed interface (one tab per year).</w:t>
      </w:r>
    </w:p>
    <w:p w14:paraId="52D4F6A0" w14:textId="77777777" w:rsidR="005D10AC" w:rsidRDefault="00000000">
      <w:pPr>
        <w:spacing w:after="100"/>
      </w:pPr>
      <w:r>
        <w:rPr>
          <w:b/>
        </w:rPr>
        <w:t>New Backend Function: run_metric_monte_carlo()</w:t>
      </w:r>
    </w:p>
    <w:p w14:paraId="4F0644EC" w14:textId="77777777" w:rsidR="005D10AC" w:rsidRDefault="00000000">
      <w:pPr>
        <w:shd w:val="clear" w:color="auto" w:fill="F0F0F0"/>
        <w:spacing w:before="80" w:after="160"/>
        <w:ind w:left="360"/>
      </w:pPr>
      <w:r>
        <w:rPr>
          <w:rFonts w:ascii="Courier New" w:hAnsi="Courier New"/>
          <w:sz w:val="17"/>
        </w:rPr>
        <w:t>def run_metric_monte_carlo(</w:t>
      </w:r>
      <w:r>
        <w:rPr>
          <w:rFonts w:ascii="Courier New" w:hAnsi="Courier New"/>
          <w:sz w:val="17"/>
        </w:rPr>
        <w:br/>
        <w:t xml:space="preserve">    starting_value: float,</w:t>
      </w:r>
      <w:r>
        <w:rPr>
          <w:rFonts w:ascii="Courier New" w:hAnsi="Courier New"/>
          <w:sz w:val="17"/>
        </w:rPr>
        <w:br/>
        <w:t xml:space="preserve">    growth_rates: List[float],       # one per year, e.g. [0.05, 0.07, 0.09]</w:t>
      </w:r>
      <w:r>
        <w:rPr>
          <w:rFonts w:ascii="Courier New" w:hAnsi="Courier New"/>
          <w:sz w:val="17"/>
        </w:rPr>
        <w:br/>
        <w:t xml:space="preserve">    volatility: float,               # annualised std dev of the metric</w:t>
      </w:r>
      <w:r>
        <w:rPr>
          <w:rFonts w:ascii="Courier New" w:hAnsi="Courier New"/>
          <w:sz w:val="17"/>
        </w:rPr>
        <w:br/>
        <w:t xml:space="preserve">    payout_curves: List[Dict],       # one curve dict per year</w:t>
      </w:r>
      <w:r>
        <w:rPr>
          <w:rFonts w:ascii="Courier New" w:hAnsi="Courier New"/>
          <w:sz w:val="17"/>
        </w:rPr>
        <w:br/>
        <w:t xml:space="preserve">    measurement_type: Literal["annual_tranches", "period_average"],</w:t>
      </w:r>
      <w:r>
        <w:rPr>
          <w:rFonts w:ascii="Courier New" w:hAnsi="Courier New"/>
          <w:sz w:val="17"/>
        </w:rPr>
        <w:br/>
        <w:t xml:space="preserve">    framework: Literal["gbm", "eagr"],</w:t>
      </w:r>
      <w:r>
        <w:rPr>
          <w:rFonts w:ascii="Courier New" w:hAnsi="Courier New"/>
          <w:sz w:val="17"/>
        </w:rPr>
        <w:br/>
        <w:t xml:space="preserve">    n_simulations: int = 100_000,</w:t>
      </w:r>
      <w:r>
        <w:rPr>
          <w:rFonts w:ascii="Courier New" w:hAnsi="Courier New"/>
          <w:sz w:val="17"/>
        </w:rPr>
        <w:br/>
        <w:t>) -&gt; Dict[str, Any]:</w:t>
      </w:r>
      <w:r>
        <w:rPr>
          <w:rFonts w:ascii="Courier New" w:hAnsi="Courier New"/>
          <w:sz w:val="17"/>
        </w:rPr>
        <w:br/>
        <w:t xml:space="preserve">    rng = np.random.default_rng()</w:t>
      </w:r>
      <w:r>
        <w:rPr>
          <w:rFonts w:ascii="Courier New" w:hAnsi="Courier New"/>
          <w:sz w:val="17"/>
        </w:rPr>
        <w:br/>
        <w:t xml:space="preserve">    n_years = len(growth_rates)</w:t>
      </w:r>
      <w:r>
        <w:rPr>
          <w:rFonts w:ascii="Courier New" w:hAnsi="Courier New"/>
          <w:sz w:val="17"/>
        </w:rPr>
        <w:br/>
        <w:t xml:space="preserve">    n = n_simulations</w:t>
      </w:r>
      <w:r>
        <w:rPr>
          <w:rFonts w:ascii="Courier New" w:hAnsi="Courier New"/>
          <w:sz w:val="17"/>
        </w:rPr>
        <w:br/>
        <w:t xml:space="preserve">    metric_path = np.zeros((n_years, n))</w:t>
      </w:r>
      <w:r>
        <w:rPr>
          <w:rFonts w:ascii="Courier New" w:hAnsi="Courier New"/>
          <w:sz w:val="17"/>
        </w:rPr>
        <w:br/>
        <w:t xml:space="preserve">    current = np.full(n, starting_value)</w:t>
      </w:r>
      <w:r>
        <w:rPr>
          <w:rFonts w:ascii="Courier New" w:hAnsi="Courier New"/>
          <w:sz w:val="17"/>
        </w:rPr>
        <w:br/>
        <w:t xml:space="preserve">    for yr_idx, g in enumerate(growth_rates):</w:t>
      </w:r>
      <w:r>
        <w:rPr>
          <w:rFonts w:ascii="Courier New" w:hAnsi="Courier New"/>
          <w:sz w:val="17"/>
        </w:rPr>
        <w:br/>
        <w:t xml:space="preserve">        Z = rng.standard_normal(n)</w:t>
      </w:r>
      <w:r>
        <w:rPr>
          <w:rFonts w:ascii="Courier New" w:hAnsi="Courier New"/>
          <w:sz w:val="17"/>
        </w:rPr>
        <w:br/>
        <w:t xml:space="preserve">        if framework == "gbm":</w:t>
      </w:r>
      <w:r>
        <w:rPr>
          <w:rFonts w:ascii="Courier New" w:hAnsi="Courier New"/>
          <w:sz w:val="17"/>
        </w:rPr>
        <w:br/>
        <w:t xml:space="preserve">            current = current * np.exp((g - 0.5 * volatility**2) + volatility * Z)</w:t>
      </w:r>
      <w:r>
        <w:rPr>
          <w:rFonts w:ascii="Courier New" w:hAnsi="Courier New"/>
          <w:sz w:val="17"/>
        </w:rPr>
        <w:br/>
        <w:t xml:space="preserve">        else:</w:t>
      </w:r>
      <w:r>
        <w:rPr>
          <w:rFonts w:ascii="Courier New" w:hAnsi="Courier New"/>
          <w:sz w:val="17"/>
        </w:rPr>
        <w:br/>
        <w:t xml:space="preserve">            current = current + current * g + volatility * current * Z</w:t>
      </w:r>
      <w:r>
        <w:rPr>
          <w:rFonts w:ascii="Courier New" w:hAnsi="Courier New"/>
          <w:sz w:val="17"/>
        </w:rPr>
        <w:br/>
        <w:t xml:space="preserve">        metric_path[yr_idx] = current</w:t>
      </w:r>
      <w:r>
        <w:rPr>
          <w:rFonts w:ascii="Courier New" w:hAnsi="Courier New"/>
          <w:sz w:val="17"/>
        </w:rPr>
        <w:br/>
        <w:t xml:space="preserve">    if measurement_type == "annual_tranches":</w:t>
      </w:r>
      <w:r>
        <w:rPr>
          <w:rFonts w:ascii="Courier New" w:hAnsi="Courier New"/>
          <w:sz w:val="17"/>
        </w:rPr>
        <w:br/>
        <w:t xml:space="preserve">        tranche_weight = 1.0 / n_years</w:t>
      </w:r>
      <w:r>
        <w:rPr>
          <w:rFonts w:ascii="Courier New" w:hAnsi="Courier New"/>
          <w:sz w:val="17"/>
        </w:rPr>
        <w:br/>
        <w:t xml:space="preserve">        total_per_sim = sum(</w:t>
      </w:r>
      <w:r>
        <w:rPr>
          <w:rFonts w:ascii="Courier New" w:hAnsi="Courier New"/>
          <w:sz w:val="17"/>
        </w:rPr>
        <w:br/>
        <w:t xml:space="preserve">            tranche_weight * _apply_payout_curve(metric_path[yr], payout_curves[yr])</w:t>
      </w:r>
      <w:r>
        <w:rPr>
          <w:rFonts w:ascii="Courier New" w:hAnsi="Courier New"/>
          <w:sz w:val="17"/>
        </w:rPr>
        <w:br/>
        <w:t xml:space="preserve">            for yr in range(n_years))</w:t>
      </w:r>
      <w:r>
        <w:rPr>
          <w:rFonts w:ascii="Courier New" w:hAnsi="Courier New"/>
          <w:sz w:val="17"/>
        </w:rPr>
        <w:br/>
        <w:t xml:space="preserve">        year_payouts = [float(np.mean(_apply_payout_curve(metric_path[yr], payout_curves[yr])))</w:t>
      </w:r>
      <w:r>
        <w:rPr>
          <w:rFonts w:ascii="Courier New" w:hAnsi="Courier New"/>
          <w:sz w:val="17"/>
        </w:rPr>
        <w:br/>
        <w:t xml:space="preserve">                        for yr in range(n_years)]</w:t>
      </w:r>
      <w:r>
        <w:rPr>
          <w:rFonts w:ascii="Courier New" w:hAnsi="Courier New"/>
          <w:sz w:val="17"/>
        </w:rPr>
        <w:br/>
        <w:t xml:space="preserve">        hurdle_probs = [_hurdle_probabilities(metric_path[yr], payout_curves[yr])</w:t>
      </w:r>
      <w:r>
        <w:rPr>
          <w:rFonts w:ascii="Courier New" w:hAnsi="Courier New"/>
          <w:sz w:val="17"/>
        </w:rPr>
        <w:br/>
        <w:t xml:space="preserve">                        for yr in range(n_years)]</w:t>
      </w:r>
      <w:r>
        <w:rPr>
          <w:rFonts w:ascii="Courier New" w:hAnsi="Courier New"/>
          <w:sz w:val="17"/>
        </w:rPr>
        <w:br/>
        <w:t xml:space="preserve">    else:</w:t>
      </w:r>
      <w:r>
        <w:rPr>
          <w:rFonts w:ascii="Courier New" w:hAnsi="Courier New"/>
          <w:sz w:val="17"/>
        </w:rPr>
        <w:br/>
        <w:t xml:space="preserve">        average_metric = metric_path.mean(axis=0)</w:t>
      </w:r>
      <w:r>
        <w:rPr>
          <w:rFonts w:ascii="Courier New" w:hAnsi="Courier New"/>
          <w:sz w:val="17"/>
        </w:rPr>
        <w:br/>
        <w:t xml:space="preserve">        total_per_sim  = _apply_payout_curve(average_metric, payout_curves[0])</w:t>
      </w:r>
      <w:r>
        <w:rPr>
          <w:rFonts w:ascii="Courier New" w:hAnsi="Courier New"/>
          <w:sz w:val="17"/>
        </w:rPr>
        <w:br/>
        <w:t xml:space="preserve">        year_payouts   = None</w:t>
      </w:r>
      <w:r>
        <w:rPr>
          <w:rFonts w:ascii="Courier New" w:hAnsi="Courier New"/>
          <w:sz w:val="17"/>
        </w:rPr>
        <w:br/>
        <w:t xml:space="preserve">        hurdle_probs   = [_hurdle_probabilities(average_metric, payout_curves[0])]</w:t>
      </w:r>
      <w:r>
        <w:rPr>
          <w:rFonts w:ascii="Courier New" w:hAnsi="Courier New"/>
          <w:sz w:val="17"/>
        </w:rPr>
        <w:br/>
        <w:t xml:space="preserve">    return {</w:t>
      </w:r>
      <w:r>
        <w:rPr>
          <w:rFonts w:ascii="Courier New" w:hAnsi="Courier New"/>
          <w:sz w:val="17"/>
        </w:rPr>
        <w:br/>
        <w:t xml:space="preserve">        "expected_payout_pct":  float(np.mean(total_per_sim)),</w:t>
      </w:r>
      <w:r>
        <w:rPr>
          <w:rFonts w:ascii="Courier New" w:hAnsi="Courier New"/>
          <w:sz w:val="17"/>
        </w:rPr>
        <w:br/>
        <w:t xml:space="preserve">        "payout_by_year":       year_payouts,</w:t>
      </w:r>
      <w:r>
        <w:rPr>
          <w:rFonts w:ascii="Courier New" w:hAnsi="Courier New"/>
          <w:sz w:val="17"/>
        </w:rPr>
        <w:br/>
        <w:t xml:space="preserve">        "hurdle_probabilities": hurdle_probs,</w:t>
      </w:r>
      <w:r>
        <w:rPr>
          <w:rFonts w:ascii="Courier New" w:hAnsi="Courier New"/>
          <w:sz w:val="17"/>
        </w:rPr>
        <w:br/>
        <w:t xml:space="preserve">        "payout_distribution":  np.percentile(total_per_sim, np.arange(1, 101)).tolist(),</w:t>
      </w:r>
      <w:r>
        <w:rPr>
          <w:rFonts w:ascii="Courier New" w:hAnsi="Courier New"/>
          <w:sz w:val="17"/>
        </w:rPr>
        <w:br/>
        <w:t xml:space="preserve">        "goal_setting_table":   _goal_setting_table(total_per_sim),</w:t>
      </w:r>
      <w:r>
        <w:rPr>
          <w:rFonts w:ascii="Courier New" w:hAnsi="Courier New"/>
          <w:sz w:val="17"/>
        </w:rPr>
        <w:br/>
        <w:t xml:space="preserve">    }</w:t>
      </w:r>
      <w:r>
        <w:rPr>
          <w:rFonts w:ascii="Courier New" w:hAnsi="Courier New"/>
          <w:sz w:val="17"/>
        </w:rPr>
        <w:br/>
      </w:r>
    </w:p>
    <w:p w14:paraId="3E8EE1AF" w14:textId="77777777" w:rsidR="005D10AC" w:rsidRDefault="00000000">
      <w:pPr>
        <w:spacing w:after="100"/>
      </w:pPr>
      <w:r>
        <w:rPr>
          <w:b/>
        </w:rPr>
        <w:t>Integration with LTIP Simulation</w:t>
      </w:r>
    </w:p>
    <w:p w14:paraId="0A74C926" w14:textId="77777777" w:rsidR="005D10AC" w:rsidRDefault="00000000">
      <w:pPr>
        <w:shd w:val="clear" w:color="auto" w:fill="F0F0F0"/>
        <w:spacing w:before="80" w:after="160"/>
        <w:ind w:left="360"/>
      </w:pPr>
      <w:r>
        <w:rPr>
          <w:rFonts w:ascii="Courier New" w:hAnsi="Courier New"/>
          <w:sz w:val="17"/>
        </w:rPr>
        <w:t>perf_opt_wt     = float(payload.get("perf_option_weight", 0.0))</w:t>
      </w:r>
      <w:r>
        <w:rPr>
          <w:rFonts w:ascii="Courier New" w:hAnsi="Courier New"/>
          <w:sz w:val="17"/>
        </w:rPr>
        <w:br/>
        <w:t>perf_opt_fv_pct = option_fair_value_pct(S=S0, K=K, T=perf_opt_term, r=r, q=q, sigma=sigma)</w:t>
      </w:r>
      <w:r>
        <w:rPr>
          <w:rFonts w:ascii="Courier New" w:hAnsi="Courier New"/>
          <w:sz w:val="17"/>
        </w:rPr>
        <w:br/>
        <w:t>perf_opt_units  = (grant_value * perf_opt_wt) / (S0 * perf_opt_fv_pct)</w:t>
      </w:r>
      <w:r>
        <w:rPr>
          <w:rFonts w:ascii="Courier New" w:hAnsi="Courier New"/>
          <w:sz w:val="17"/>
        </w:rPr>
        <w:br/>
        <w:t>metric_result   = run_metric_monte_carlo(**payload["perf_option_metric"])</w:t>
      </w:r>
      <w:r>
        <w:rPr>
          <w:rFonts w:ascii="Courier New" w:hAnsi="Courier New"/>
          <w:sz w:val="17"/>
        </w:rPr>
        <w:br/>
      </w:r>
      <w:r>
        <w:rPr>
          <w:rFonts w:ascii="Courier New" w:hAnsi="Courier New"/>
          <w:sz w:val="17"/>
        </w:rPr>
        <w:lastRenderedPageBreak/>
        <w:t>expected_payout = metric_result["expected_payout_pct"]</w:t>
      </w:r>
      <w:r>
        <w:rPr>
          <w:rFonts w:ascii="Courier New" w:hAnsi="Courier New"/>
          <w:sz w:val="17"/>
        </w:rPr>
        <w:br/>
        <w:t>perf_opt_val    = perf_opt_units * np.maximum(S_T_co - K, 0.0) * expected_payout</w:t>
      </w:r>
      <w:r>
        <w:rPr>
          <w:rFonts w:ascii="Courier New" w:hAnsi="Courier New"/>
          <w:sz w:val="17"/>
        </w:rPr>
        <w:br/>
      </w:r>
    </w:p>
    <w:p w14:paraId="3D5570BA" w14:textId="77777777" w:rsidR="005D10AC" w:rsidRDefault="00000000">
      <w:pPr>
        <w:spacing w:after="100"/>
      </w:pPr>
      <w:r>
        <w:rPr>
          <w:b/>
        </w:rPr>
        <w:t>Frontend Changes</w:t>
      </w:r>
    </w:p>
    <w:p w14:paraId="11D252B6" w14:textId="77777777" w:rsidR="005D10AC" w:rsidRDefault="00000000">
      <w:pPr>
        <w:spacing w:after="100"/>
      </w:pPr>
      <w:r>
        <w:t>Panel A — Metric Setup:</w:t>
      </w:r>
    </w:p>
    <w:tbl>
      <w:tblPr>
        <w:tblStyle w:val="TableGrid"/>
        <w:tblW w:w="0" w:type="auto"/>
        <w:tblLook w:val="04A0" w:firstRow="1" w:lastRow="0" w:firstColumn="1" w:lastColumn="0" w:noHBand="0" w:noVBand="1"/>
      </w:tblPr>
      <w:tblGrid>
        <w:gridCol w:w="2016"/>
        <w:gridCol w:w="2448"/>
        <w:gridCol w:w="1440"/>
        <w:gridCol w:w="3024"/>
      </w:tblGrid>
      <w:tr w:rsidR="005D10AC" w14:paraId="7FE5768E" w14:textId="77777777">
        <w:tc>
          <w:tcPr>
            <w:tcW w:w="2016" w:type="dxa"/>
            <w:shd w:val="clear" w:color="auto" w:fill="0A192F"/>
          </w:tcPr>
          <w:p w14:paraId="4CBBBA00" w14:textId="77777777" w:rsidR="005D10AC" w:rsidRDefault="00000000">
            <w:r>
              <w:rPr>
                <w:b/>
                <w:color w:val="FFFFFF"/>
                <w:sz w:val="18"/>
              </w:rPr>
              <w:t>Field</w:t>
            </w:r>
          </w:p>
        </w:tc>
        <w:tc>
          <w:tcPr>
            <w:tcW w:w="2448" w:type="dxa"/>
            <w:shd w:val="clear" w:color="auto" w:fill="0A192F"/>
          </w:tcPr>
          <w:p w14:paraId="58DB8071" w14:textId="77777777" w:rsidR="005D10AC" w:rsidRDefault="00000000">
            <w:r>
              <w:rPr>
                <w:b/>
                <w:color w:val="FFFFFF"/>
                <w:sz w:val="18"/>
              </w:rPr>
              <w:t>Type</w:t>
            </w:r>
          </w:p>
        </w:tc>
        <w:tc>
          <w:tcPr>
            <w:tcW w:w="1440" w:type="dxa"/>
            <w:shd w:val="clear" w:color="auto" w:fill="0A192F"/>
          </w:tcPr>
          <w:p w14:paraId="77DB6536" w14:textId="77777777" w:rsidR="005D10AC" w:rsidRDefault="00000000">
            <w:r>
              <w:rPr>
                <w:b/>
                <w:color w:val="FFFFFF"/>
                <w:sz w:val="18"/>
              </w:rPr>
              <w:t>Default</w:t>
            </w:r>
          </w:p>
        </w:tc>
        <w:tc>
          <w:tcPr>
            <w:tcW w:w="3024" w:type="dxa"/>
            <w:shd w:val="clear" w:color="auto" w:fill="0A192F"/>
          </w:tcPr>
          <w:p w14:paraId="36C6B39E" w14:textId="77777777" w:rsidR="005D10AC" w:rsidRDefault="00000000">
            <w:r>
              <w:rPr>
                <w:b/>
                <w:color w:val="FFFFFF"/>
                <w:sz w:val="18"/>
              </w:rPr>
              <w:t>Notes</w:t>
            </w:r>
          </w:p>
        </w:tc>
      </w:tr>
      <w:tr w:rsidR="005D10AC" w14:paraId="2C2F3931" w14:textId="77777777">
        <w:tc>
          <w:tcPr>
            <w:tcW w:w="2016" w:type="dxa"/>
            <w:shd w:val="clear" w:color="auto" w:fill="F5F5F5"/>
          </w:tcPr>
          <w:p w14:paraId="210234B4" w14:textId="77777777" w:rsidR="005D10AC" w:rsidRDefault="00000000">
            <w:r>
              <w:rPr>
                <w:sz w:val="18"/>
              </w:rPr>
              <w:t>Metric name</w:t>
            </w:r>
          </w:p>
        </w:tc>
        <w:tc>
          <w:tcPr>
            <w:tcW w:w="2448" w:type="dxa"/>
            <w:shd w:val="clear" w:color="auto" w:fill="F5F5F5"/>
          </w:tcPr>
          <w:p w14:paraId="6CAC8E77" w14:textId="77777777" w:rsidR="005D10AC" w:rsidRDefault="00000000">
            <w:r>
              <w:rPr>
                <w:sz w:val="18"/>
              </w:rPr>
              <w:t>Dropdown + free-text</w:t>
            </w:r>
          </w:p>
        </w:tc>
        <w:tc>
          <w:tcPr>
            <w:tcW w:w="1440" w:type="dxa"/>
            <w:shd w:val="clear" w:color="auto" w:fill="F5F5F5"/>
          </w:tcPr>
          <w:p w14:paraId="32E26A76" w14:textId="77777777" w:rsidR="005D10AC" w:rsidRDefault="00000000">
            <w:r>
              <w:rPr>
                <w:sz w:val="18"/>
              </w:rPr>
              <w:t>ROE</w:t>
            </w:r>
          </w:p>
        </w:tc>
        <w:tc>
          <w:tcPr>
            <w:tcW w:w="3024" w:type="dxa"/>
            <w:shd w:val="clear" w:color="auto" w:fill="F5F5F5"/>
          </w:tcPr>
          <w:p w14:paraId="331AF4D4" w14:textId="77777777" w:rsidR="005D10AC" w:rsidRDefault="00000000">
            <w:r>
              <w:rPr>
                <w:sz w:val="18"/>
              </w:rPr>
              <w:t>Pre-populated: ROE, EBIT Margin, ROIC, Revenue Growth, EPS</w:t>
            </w:r>
          </w:p>
        </w:tc>
      </w:tr>
      <w:tr w:rsidR="005D10AC" w14:paraId="0A880DD4" w14:textId="77777777">
        <w:tc>
          <w:tcPr>
            <w:tcW w:w="2016" w:type="dxa"/>
            <w:shd w:val="clear" w:color="auto" w:fill="FFFFFF"/>
          </w:tcPr>
          <w:p w14:paraId="2AB1CDEA" w14:textId="77777777" w:rsidR="005D10AC" w:rsidRDefault="00000000">
            <w:r>
              <w:rPr>
                <w:sz w:val="18"/>
              </w:rPr>
              <w:t>Starting value</w:t>
            </w:r>
          </w:p>
        </w:tc>
        <w:tc>
          <w:tcPr>
            <w:tcW w:w="2448" w:type="dxa"/>
            <w:shd w:val="clear" w:color="auto" w:fill="FFFFFF"/>
          </w:tcPr>
          <w:p w14:paraId="02355DEE" w14:textId="77777777" w:rsidR="005D10AC" w:rsidRDefault="00000000">
            <w:r>
              <w:rPr>
                <w:sz w:val="18"/>
              </w:rPr>
              <w:t>Numeric</w:t>
            </w:r>
          </w:p>
        </w:tc>
        <w:tc>
          <w:tcPr>
            <w:tcW w:w="1440" w:type="dxa"/>
            <w:shd w:val="clear" w:color="auto" w:fill="FFFFFF"/>
          </w:tcPr>
          <w:p w14:paraId="546137B8" w14:textId="77777777" w:rsidR="005D10AC" w:rsidRDefault="00000000">
            <w:r>
              <w:rPr>
                <w:sz w:val="18"/>
              </w:rPr>
              <w:t>—</w:t>
            </w:r>
          </w:p>
        </w:tc>
        <w:tc>
          <w:tcPr>
            <w:tcW w:w="3024" w:type="dxa"/>
            <w:shd w:val="clear" w:color="auto" w:fill="FFFFFF"/>
          </w:tcPr>
          <w:p w14:paraId="30A379E5" w14:textId="77777777" w:rsidR="005D10AC" w:rsidRDefault="00000000">
            <w:r>
              <w:rPr>
                <w:sz w:val="18"/>
              </w:rPr>
              <w:t>Current metric level (e.g. 14.2%)</w:t>
            </w:r>
          </w:p>
        </w:tc>
      </w:tr>
      <w:tr w:rsidR="005D10AC" w14:paraId="2948DA05" w14:textId="77777777">
        <w:tc>
          <w:tcPr>
            <w:tcW w:w="2016" w:type="dxa"/>
            <w:shd w:val="clear" w:color="auto" w:fill="F5F5F5"/>
          </w:tcPr>
          <w:p w14:paraId="20872402" w14:textId="77777777" w:rsidR="005D10AC" w:rsidRDefault="00000000">
            <w:r>
              <w:rPr>
                <w:sz w:val="18"/>
              </w:rPr>
              <w:t>Simulation framework</w:t>
            </w:r>
          </w:p>
        </w:tc>
        <w:tc>
          <w:tcPr>
            <w:tcW w:w="2448" w:type="dxa"/>
            <w:shd w:val="clear" w:color="auto" w:fill="F5F5F5"/>
          </w:tcPr>
          <w:p w14:paraId="7B7D17B8" w14:textId="77777777" w:rsidR="005D10AC" w:rsidRDefault="00000000">
            <w:r>
              <w:rPr>
                <w:sz w:val="18"/>
              </w:rPr>
              <w:t>Toggle: GBM / EAGR</w:t>
            </w:r>
          </w:p>
        </w:tc>
        <w:tc>
          <w:tcPr>
            <w:tcW w:w="1440" w:type="dxa"/>
            <w:shd w:val="clear" w:color="auto" w:fill="F5F5F5"/>
          </w:tcPr>
          <w:p w14:paraId="0903FA7D" w14:textId="77777777" w:rsidR="005D10AC" w:rsidRDefault="00000000">
            <w:r>
              <w:rPr>
                <w:sz w:val="18"/>
              </w:rPr>
              <w:t>EAGR</w:t>
            </w:r>
          </w:p>
        </w:tc>
        <w:tc>
          <w:tcPr>
            <w:tcW w:w="3024" w:type="dxa"/>
            <w:shd w:val="clear" w:color="auto" w:fill="F5F5F5"/>
          </w:tcPr>
          <w:p w14:paraId="78AD3EA3" w14:textId="77777777" w:rsidR="005D10AC" w:rsidRDefault="00000000">
            <w:r>
              <w:rPr>
                <w:sz w:val="18"/>
              </w:rPr>
              <w:t>EAGR for ratio metrics; GBM for absolute dollar metrics</w:t>
            </w:r>
          </w:p>
        </w:tc>
      </w:tr>
      <w:tr w:rsidR="005D10AC" w14:paraId="43841D90" w14:textId="77777777">
        <w:tc>
          <w:tcPr>
            <w:tcW w:w="2016" w:type="dxa"/>
            <w:shd w:val="clear" w:color="auto" w:fill="FFFFFF"/>
          </w:tcPr>
          <w:p w14:paraId="6AE0AD62" w14:textId="77777777" w:rsidR="005D10AC" w:rsidRDefault="00000000">
            <w:r>
              <w:rPr>
                <w:sz w:val="18"/>
              </w:rPr>
              <w:t>Measurement type</w:t>
            </w:r>
          </w:p>
        </w:tc>
        <w:tc>
          <w:tcPr>
            <w:tcW w:w="2448" w:type="dxa"/>
            <w:shd w:val="clear" w:color="auto" w:fill="FFFFFF"/>
          </w:tcPr>
          <w:p w14:paraId="486871F3" w14:textId="77777777" w:rsidR="005D10AC" w:rsidRDefault="00000000">
            <w:r>
              <w:rPr>
                <w:sz w:val="18"/>
              </w:rPr>
              <w:t>Toggle: Annual Tranches / Period Average</w:t>
            </w:r>
          </w:p>
        </w:tc>
        <w:tc>
          <w:tcPr>
            <w:tcW w:w="1440" w:type="dxa"/>
            <w:shd w:val="clear" w:color="auto" w:fill="FFFFFF"/>
          </w:tcPr>
          <w:p w14:paraId="69E8601A" w14:textId="77777777" w:rsidR="005D10AC" w:rsidRDefault="00000000">
            <w:r>
              <w:rPr>
                <w:sz w:val="18"/>
              </w:rPr>
              <w:t>Annual Tranches</w:t>
            </w:r>
          </w:p>
        </w:tc>
        <w:tc>
          <w:tcPr>
            <w:tcW w:w="3024" w:type="dxa"/>
            <w:shd w:val="clear" w:color="auto" w:fill="FFFFFF"/>
          </w:tcPr>
          <w:p w14:paraId="12BBA3B5" w14:textId="77777777" w:rsidR="005D10AC" w:rsidRDefault="00000000">
            <w:r>
              <w:rPr>
                <w:sz w:val="18"/>
              </w:rPr>
              <w:t>Drives payout aggregation</w:t>
            </w:r>
          </w:p>
        </w:tc>
      </w:tr>
      <w:tr w:rsidR="005D10AC" w14:paraId="3C462F7D" w14:textId="77777777">
        <w:tc>
          <w:tcPr>
            <w:tcW w:w="2016" w:type="dxa"/>
            <w:shd w:val="clear" w:color="auto" w:fill="F5F5F5"/>
          </w:tcPr>
          <w:p w14:paraId="3E6EE9BD" w14:textId="77777777" w:rsidR="005D10AC" w:rsidRDefault="00000000">
            <w:r>
              <w:rPr>
                <w:sz w:val="18"/>
              </w:rPr>
              <w:t>Historical volatility</w:t>
            </w:r>
          </w:p>
        </w:tc>
        <w:tc>
          <w:tcPr>
            <w:tcW w:w="2448" w:type="dxa"/>
            <w:shd w:val="clear" w:color="auto" w:fill="F5F5F5"/>
          </w:tcPr>
          <w:p w14:paraId="4009DBFD" w14:textId="77777777" w:rsidR="005D10AC" w:rsidRDefault="00000000">
            <w:r>
              <w:rPr>
                <w:sz w:val="18"/>
              </w:rPr>
              <w:t>Numeric</w:t>
            </w:r>
          </w:p>
        </w:tc>
        <w:tc>
          <w:tcPr>
            <w:tcW w:w="1440" w:type="dxa"/>
            <w:shd w:val="clear" w:color="auto" w:fill="F5F5F5"/>
          </w:tcPr>
          <w:p w14:paraId="55495B11" w14:textId="77777777" w:rsidR="005D10AC" w:rsidRDefault="00000000">
            <w:r>
              <w:rPr>
                <w:sz w:val="18"/>
              </w:rPr>
              <w:t>—</w:t>
            </w:r>
          </w:p>
        </w:tc>
        <w:tc>
          <w:tcPr>
            <w:tcW w:w="3024" w:type="dxa"/>
            <w:shd w:val="clear" w:color="auto" w:fill="F5F5F5"/>
          </w:tcPr>
          <w:p w14:paraId="7A377310" w14:textId="77777777" w:rsidR="005D10AC" w:rsidRDefault="00000000">
            <w:r>
              <w:rPr>
                <w:sz w:val="18"/>
              </w:rPr>
              <w:t>Std dev from historical data</w:t>
            </w:r>
          </w:p>
        </w:tc>
      </w:tr>
      <w:tr w:rsidR="005D10AC" w14:paraId="01D60568" w14:textId="77777777">
        <w:tc>
          <w:tcPr>
            <w:tcW w:w="2016" w:type="dxa"/>
            <w:shd w:val="clear" w:color="auto" w:fill="FFFFFF"/>
          </w:tcPr>
          <w:p w14:paraId="6B989FDB" w14:textId="77777777" w:rsidR="005D10AC" w:rsidRDefault="00000000">
            <w:r>
              <w:rPr>
                <w:sz w:val="18"/>
              </w:rPr>
              <w:t>Contractual term (years)</w:t>
            </w:r>
          </w:p>
        </w:tc>
        <w:tc>
          <w:tcPr>
            <w:tcW w:w="2448" w:type="dxa"/>
            <w:shd w:val="clear" w:color="auto" w:fill="FFFFFF"/>
          </w:tcPr>
          <w:p w14:paraId="59397F68" w14:textId="77777777" w:rsidR="005D10AC" w:rsidRDefault="00000000">
            <w:r>
              <w:rPr>
                <w:sz w:val="18"/>
              </w:rPr>
              <w:t>Numeric</w:t>
            </w:r>
          </w:p>
        </w:tc>
        <w:tc>
          <w:tcPr>
            <w:tcW w:w="1440" w:type="dxa"/>
            <w:shd w:val="clear" w:color="auto" w:fill="FFFFFF"/>
          </w:tcPr>
          <w:p w14:paraId="0DD99386" w14:textId="77777777" w:rsidR="005D10AC" w:rsidRDefault="00000000">
            <w:r>
              <w:rPr>
                <w:sz w:val="18"/>
              </w:rPr>
              <w:t>6</w:t>
            </w:r>
          </w:p>
        </w:tc>
        <w:tc>
          <w:tcPr>
            <w:tcW w:w="3024" w:type="dxa"/>
            <w:shd w:val="clear" w:color="auto" w:fill="FFFFFF"/>
          </w:tcPr>
          <w:p w14:paraId="6EFD2DE1" w14:textId="77777777" w:rsidR="005D10AC" w:rsidRDefault="00000000">
            <w:r>
              <w:rPr>
                <w:sz w:val="18"/>
              </w:rPr>
              <w:t>Option life after grant</w:t>
            </w:r>
          </w:p>
        </w:tc>
      </w:tr>
    </w:tbl>
    <w:p w14:paraId="0A9A1338" w14:textId="77777777" w:rsidR="005D10AC" w:rsidRDefault="005D10AC"/>
    <w:p w14:paraId="53DFF3CE" w14:textId="77777777" w:rsidR="005D10AC" w:rsidRDefault="00000000">
      <w:pPr>
        <w:pStyle w:val="ListBullet"/>
        <w:spacing w:after="60"/>
        <w:ind w:left="432"/>
      </w:pPr>
      <w:r>
        <w:t>Panel B — Per-Year Growth Rate Grid: one row per year of the performance period, independently editable</w:t>
      </w:r>
    </w:p>
    <w:p w14:paraId="519919F7" w14:textId="77777777" w:rsidR="005D10AC" w:rsidRDefault="00000000">
      <w:pPr>
        <w:pStyle w:val="ListBullet"/>
        <w:spacing w:after="60"/>
        <w:ind w:left="432"/>
      </w:pPr>
      <w:r>
        <w:t>Panel C — Per-Year Payout Curve: tabbed interface, one tab per year, live chart previews the curve shape</w:t>
      </w:r>
    </w:p>
    <w:p w14:paraId="7985F81C" w14:textId="77777777" w:rsidR="005D10AC" w:rsidRDefault="00000000">
      <w:pPr>
        <w:pStyle w:val="ListBullet"/>
        <w:spacing w:after="60"/>
        <w:ind w:left="432"/>
      </w:pPr>
      <w:r>
        <w:t>Results Addition: fourth bar 'Perf. Options' in purple. Shows Expected Payout %, Accounting Fair Value, year-by-year hurdle probability table</w:t>
      </w:r>
    </w:p>
    <w:p w14:paraId="238C5325" w14:textId="77777777" w:rsidR="005D10AC" w:rsidRDefault="005D10AC">
      <w:pPr>
        <w:pBdr>
          <w:bottom w:val="single" w:sz="6" w:space="1" w:color="FF6B00"/>
        </w:pBdr>
        <w:spacing w:before="40"/>
      </w:pPr>
    </w:p>
    <w:p w14:paraId="595E676A" w14:textId="77777777" w:rsidR="005D10AC" w:rsidRDefault="00000000">
      <w:pPr>
        <w:spacing w:before="280" w:after="80"/>
      </w:pPr>
      <w:r>
        <w:rPr>
          <w:b/>
          <w:color w:val="FF6B00"/>
          <w:sz w:val="28"/>
        </w:rPr>
        <w:t>Priority 2 — Per-Metric Payout Curves (STIP and PSU)</w:t>
      </w:r>
    </w:p>
    <w:p w14:paraId="15B23776" w14:textId="77777777" w:rsidR="005D10AC" w:rsidRDefault="00000000">
      <w:pPr>
        <w:spacing w:after="100"/>
      </w:pPr>
      <w:r>
        <w:t>Currently one global payout curve applies to all STIP scorecard metrics, and one curve applies to all internal PSU metrics. Different metrics warrant different curve designs. This is standard practice in real executive plans and is now supported for both STIP and PSU.</w:t>
      </w:r>
    </w:p>
    <w:p w14:paraId="71065732" w14:textId="77777777" w:rsidR="005D10AC" w:rsidRDefault="00000000">
      <w:pPr>
        <w:spacing w:after="100"/>
      </w:pPr>
      <w:r>
        <w:rPr>
          <w:b/>
        </w:rPr>
        <w:t>STIP — Backend Change:</w:t>
      </w:r>
    </w:p>
    <w:p w14:paraId="1B4C153F" w14:textId="77777777" w:rsidR="005D10AC" w:rsidRDefault="00000000">
      <w:pPr>
        <w:shd w:val="clear" w:color="auto" w:fill="F0F0F0"/>
        <w:spacing w:before="80" w:after="160"/>
        <w:ind w:left="360"/>
      </w:pPr>
      <w:r>
        <w:rPr>
          <w:rFonts w:ascii="Courier New" w:hAnsi="Courier New"/>
          <w:sz w:val="17"/>
        </w:rPr>
        <w:t># Before: one global curve applied to all metrics</w:t>
      </w:r>
      <w:r>
        <w:rPr>
          <w:rFonts w:ascii="Courier New" w:hAnsi="Courier New"/>
          <w:sz w:val="17"/>
        </w:rPr>
        <w:br/>
        <w:t>curve = payload["curve_design"]</w:t>
      </w:r>
      <w:r>
        <w:rPr>
          <w:rFonts w:ascii="Courier New" w:hAnsi="Courier New"/>
          <w:sz w:val="17"/>
        </w:rPr>
        <w:br/>
        <w:t>multiplier = calculate_multiplier(achievement, curve)</w:t>
      </w:r>
      <w:r>
        <w:rPr>
          <w:rFonts w:ascii="Courier New" w:hAnsi="Courier New"/>
          <w:sz w:val="17"/>
        </w:rPr>
        <w:br/>
      </w:r>
      <w:r>
        <w:rPr>
          <w:rFonts w:ascii="Courier New" w:hAnsi="Courier New"/>
          <w:sz w:val="17"/>
        </w:rPr>
        <w:br/>
        <w:t># After: each metric carries its own curve</w:t>
      </w:r>
      <w:r>
        <w:rPr>
          <w:rFonts w:ascii="Courier New" w:hAnsi="Courier New"/>
          <w:sz w:val="17"/>
        </w:rPr>
        <w:br/>
        <w:t>for metric in payload["scorecard_metrics"]:</w:t>
      </w:r>
      <w:r>
        <w:rPr>
          <w:rFonts w:ascii="Courier New" w:hAnsi="Courier New"/>
          <w:sz w:val="17"/>
        </w:rPr>
        <w:br/>
        <w:t xml:space="preserve">    curve = metric["curve"]</w:t>
      </w:r>
      <w:r>
        <w:rPr>
          <w:rFonts w:ascii="Courier New" w:hAnsi="Courier New"/>
          <w:sz w:val="17"/>
        </w:rPr>
        <w:br/>
        <w:t xml:space="preserve">    multiplier = calculate_multiplier(achievement, curve)</w:t>
      </w:r>
      <w:r>
        <w:rPr>
          <w:rFonts w:ascii="Courier New" w:hAnsi="Courier New"/>
          <w:sz w:val="17"/>
        </w:rPr>
        <w:br/>
      </w:r>
    </w:p>
    <w:p w14:paraId="50D7E3EF" w14:textId="77777777" w:rsidR="005D10AC" w:rsidRDefault="00000000">
      <w:pPr>
        <w:spacing w:after="100"/>
      </w:pPr>
      <w:r>
        <w:rPr>
          <w:b/>
        </w:rPr>
        <w:t>STIP — Frontend Change:</w:t>
      </w:r>
    </w:p>
    <w:p w14:paraId="05501DB2" w14:textId="77777777" w:rsidR="005D10AC" w:rsidRDefault="00000000">
      <w:pPr>
        <w:spacing w:after="100"/>
      </w:pPr>
      <w:r>
        <w:t>Each metric row in the Scorecard Builder gains an Edit Curve button. The global curve card is removed. A default curve (80%/50% -&gt; 100%/100% -&gt; 120%/200%) is pre-populated for each new metric.</w:t>
      </w:r>
    </w:p>
    <w:p w14:paraId="6D8FEF48" w14:textId="77777777" w:rsidR="005D10AC" w:rsidRDefault="00000000">
      <w:pPr>
        <w:spacing w:after="100"/>
      </w:pPr>
      <w:r>
        <w:rPr>
          <w:b/>
        </w:rPr>
        <w:t>PSU — Backend Change:</w:t>
      </w:r>
    </w:p>
    <w:p w14:paraId="45DB9125" w14:textId="77777777" w:rsidR="005D10AC" w:rsidRDefault="00000000">
      <w:pPr>
        <w:shd w:val="clear" w:color="auto" w:fill="F0F0F0"/>
        <w:spacing w:before="80" w:after="160"/>
        <w:ind w:left="360"/>
      </w:pPr>
      <w:r>
        <w:rPr>
          <w:rFonts w:ascii="Courier New" w:hAnsi="Courier New"/>
          <w:sz w:val="17"/>
        </w:rPr>
        <w:t>internal_metrics = psu_cfg["internal_metrics"]  # list with per-metric curves</w:t>
      </w:r>
      <w:r>
        <w:rPr>
          <w:rFonts w:ascii="Courier New" w:hAnsi="Courier New"/>
          <w:sz w:val="17"/>
        </w:rPr>
        <w:br/>
        <w:t>internal_mult = np.zeros(n)</w:t>
      </w:r>
      <w:r>
        <w:rPr>
          <w:rFonts w:ascii="Courier New" w:hAnsi="Courier New"/>
          <w:sz w:val="17"/>
        </w:rPr>
        <w:br/>
        <w:t>for metric in internal_metrics:</w:t>
      </w:r>
      <w:r>
        <w:rPr>
          <w:rFonts w:ascii="Courier New" w:hAnsi="Courier New"/>
          <w:sz w:val="17"/>
        </w:rPr>
        <w:br/>
        <w:t xml:space="preserve">    z_m   = rng.standard_normal(n)</w:t>
      </w:r>
      <w:r>
        <w:rPr>
          <w:rFonts w:ascii="Courier New" w:hAnsi="Courier New"/>
          <w:sz w:val="17"/>
        </w:rPr>
        <w:br/>
        <w:t xml:space="preserve">    ach_m = np.maximum(1.0 + metric["volatility"] * z_m, 0.0)</w:t>
      </w:r>
      <w:r>
        <w:rPr>
          <w:rFonts w:ascii="Courier New" w:hAnsi="Courier New"/>
          <w:sz w:val="17"/>
        </w:rPr>
        <w:br/>
        <w:t xml:space="preserve">    mult_m = np.array([calculate_multiplier_achievement(float(a), metric["curve"])</w:t>
      </w:r>
      <w:r>
        <w:rPr>
          <w:rFonts w:ascii="Courier New" w:hAnsi="Courier New"/>
          <w:sz w:val="17"/>
        </w:rPr>
        <w:br/>
      </w:r>
      <w:r>
        <w:rPr>
          <w:rFonts w:ascii="Courier New" w:hAnsi="Courier New"/>
          <w:sz w:val="17"/>
        </w:rPr>
        <w:lastRenderedPageBreak/>
        <w:t xml:space="preserve">                       for a in ach_m])</w:t>
      </w:r>
      <w:r>
        <w:rPr>
          <w:rFonts w:ascii="Courier New" w:hAnsi="Courier New"/>
          <w:sz w:val="17"/>
        </w:rPr>
        <w:br/>
        <w:t xml:space="preserve">    internal_mult += metric["weight"] * mult_m</w:t>
      </w:r>
      <w:r>
        <w:rPr>
          <w:rFonts w:ascii="Courier New" w:hAnsi="Courier New"/>
          <w:sz w:val="17"/>
        </w:rPr>
        <w:br/>
      </w:r>
    </w:p>
    <w:p w14:paraId="135C192D" w14:textId="77777777" w:rsidR="005D10AC" w:rsidRDefault="00000000">
      <w:pPr>
        <w:spacing w:after="100"/>
      </w:pPr>
      <w:r>
        <w:rPr>
          <w:b/>
        </w:rPr>
        <w:t>PSU — Frontend Change:</w:t>
      </w:r>
    </w:p>
    <w:p w14:paraId="4F3E99EE" w14:textId="77777777" w:rsidR="005D10AC" w:rsidRDefault="00000000">
      <w:pPr>
        <w:spacing w:after="100"/>
      </w:pPr>
      <w:r>
        <w:t>The internal metric section of the PSU Curve Designer becomes a repeatable list. Each metric has: name, weight (%), volatility, and an Edit Curve button. A running weight total must equal 100%.</w:t>
      </w:r>
    </w:p>
    <w:p w14:paraId="2FA41D59" w14:textId="77777777" w:rsidR="005D10AC" w:rsidRDefault="005D10AC">
      <w:pPr>
        <w:pBdr>
          <w:bottom w:val="single" w:sz="6" w:space="1" w:color="FF6B00"/>
        </w:pBdr>
        <w:spacing w:before="40"/>
      </w:pPr>
    </w:p>
    <w:p w14:paraId="4606A9A9" w14:textId="77777777" w:rsidR="005D10AC" w:rsidRDefault="00000000">
      <w:pPr>
        <w:spacing w:before="280" w:after="80"/>
      </w:pPr>
      <w:r>
        <w:rPr>
          <w:b/>
          <w:color w:val="FF6B00"/>
          <w:sz w:val="28"/>
        </w:rPr>
        <w:t>Priority 3 — Forward-Looking Assumption Flexibility</w:t>
      </w:r>
    </w:p>
    <w:p w14:paraId="08A7996E" w14:textId="77777777" w:rsidR="005D10AC" w:rsidRDefault="00000000">
      <w:pPr>
        <w:spacing w:after="100"/>
      </w:pPr>
      <w:r>
        <w:t>All volatility and growth rate assumptions currently come exclusively from the uploaded Excel price history. This priority adds the ability to override any assumption with forward-looking estimates. This affects both the GBM stock price simulation (primary impact) and the Black-Scholes option pricing (secondary impact).</w:t>
      </w:r>
    </w:p>
    <w:tbl>
      <w:tblPr>
        <w:tblStyle w:val="TableGrid"/>
        <w:tblW w:w="0" w:type="auto"/>
        <w:tblLook w:val="04A0" w:firstRow="1" w:lastRow="0" w:firstColumn="1" w:lastColumn="0" w:noHBand="0" w:noVBand="1"/>
      </w:tblPr>
      <w:tblGrid>
        <w:gridCol w:w="2880"/>
        <w:gridCol w:w="3600"/>
        <w:gridCol w:w="2448"/>
      </w:tblGrid>
      <w:tr w:rsidR="005D10AC" w14:paraId="1EC9991C" w14:textId="77777777">
        <w:tc>
          <w:tcPr>
            <w:tcW w:w="2880" w:type="dxa"/>
            <w:shd w:val="clear" w:color="auto" w:fill="0A192F"/>
          </w:tcPr>
          <w:p w14:paraId="20B5CD0E" w14:textId="77777777" w:rsidR="005D10AC" w:rsidRDefault="00000000">
            <w:r>
              <w:rPr>
                <w:b/>
                <w:color w:val="FFFFFF"/>
                <w:sz w:val="18"/>
              </w:rPr>
              <w:t>Assumption</w:t>
            </w:r>
          </w:p>
        </w:tc>
        <w:tc>
          <w:tcPr>
            <w:tcW w:w="3600" w:type="dxa"/>
            <w:shd w:val="clear" w:color="auto" w:fill="0A192F"/>
          </w:tcPr>
          <w:p w14:paraId="79885F7C" w14:textId="77777777" w:rsidR="005D10AC" w:rsidRDefault="00000000">
            <w:r>
              <w:rPr>
                <w:b/>
                <w:color w:val="FFFFFF"/>
                <w:sz w:val="18"/>
              </w:rPr>
              <w:t>Affects GBM simulation</w:t>
            </w:r>
          </w:p>
        </w:tc>
        <w:tc>
          <w:tcPr>
            <w:tcW w:w="2448" w:type="dxa"/>
            <w:shd w:val="clear" w:color="auto" w:fill="0A192F"/>
          </w:tcPr>
          <w:p w14:paraId="7FC40A3C" w14:textId="77777777" w:rsidR="005D10AC" w:rsidRDefault="00000000">
            <w:r>
              <w:rPr>
                <w:b/>
                <w:color w:val="FFFFFF"/>
                <w:sz w:val="18"/>
              </w:rPr>
              <w:t>Affects Black-Scholes</w:t>
            </w:r>
          </w:p>
        </w:tc>
      </w:tr>
      <w:tr w:rsidR="005D10AC" w14:paraId="03CED8F5" w14:textId="77777777">
        <w:tc>
          <w:tcPr>
            <w:tcW w:w="2880" w:type="dxa"/>
            <w:shd w:val="clear" w:color="auto" w:fill="F5F5F5"/>
          </w:tcPr>
          <w:p w14:paraId="37037DA5" w14:textId="77777777" w:rsidR="005D10AC" w:rsidRDefault="00000000">
            <w:r>
              <w:rPr>
                <w:sz w:val="18"/>
              </w:rPr>
              <w:t>Company volatility (s)</w:t>
            </w:r>
          </w:p>
        </w:tc>
        <w:tc>
          <w:tcPr>
            <w:tcW w:w="3600" w:type="dxa"/>
            <w:shd w:val="clear" w:color="auto" w:fill="F5F5F5"/>
          </w:tcPr>
          <w:p w14:paraId="1BF7FECE" w14:textId="77777777" w:rsidR="005D10AC" w:rsidRDefault="00000000">
            <w:r>
              <w:rPr>
                <w:sz w:val="18"/>
              </w:rPr>
              <w:t>Yes — drives stock price path variance</w:t>
            </w:r>
          </w:p>
        </w:tc>
        <w:tc>
          <w:tcPr>
            <w:tcW w:w="2448" w:type="dxa"/>
            <w:shd w:val="clear" w:color="auto" w:fill="F5F5F5"/>
          </w:tcPr>
          <w:p w14:paraId="13F6F2D7" w14:textId="77777777" w:rsidR="005D10AC" w:rsidRDefault="00000000">
            <w:r>
              <w:rPr>
                <w:sz w:val="18"/>
              </w:rPr>
              <w:t>Yes — drives option fair value</w:t>
            </w:r>
          </w:p>
        </w:tc>
      </w:tr>
      <w:tr w:rsidR="005D10AC" w14:paraId="13857BF3" w14:textId="77777777">
        <w:tc>
          <w:tcPr>
            <w:tcW w:w="2880" w:type="dxa"/>
            <w:shd w:val="clear" w:color="auto" w:fill="FFFFFF"/>
          </w:tcPr>
          <w:p w14:paraId="3165E0FB" w14:textId="77777777" w:rsidR="005D10AC" w:rsidRDefault="00000000">
            <w:r>
              <w:rPr>
                <w:sz w:val="18"/>
              </w:rPr>
              <w:t>Peer volatility (s_i)</w:t>
            </w:r>
          </w:p>
        </w:tc>
        <w:tc>
          <w:tcPr>
            <w:tcW w:w="3600" w:type="dxa"/>
            <w:shd w:val="clear" w:color="auto" w:fill="FFFFFF"/>
          </w:tcPr>
          <w:p w14:paraId="2C74DCF2" w14:textId="77777777" w:rsidR="005D10AC" w:rsidRDefault="00000000">
            <w:r>
              <w:rPr>
                <w:sz w:val="18"/>
              </w:rPr>
              <w:t>Yes — drives peer price paths, rTSR gap</w:t>
            </w:r>
          </w:p>
        </w:tc>
        <w:tc>
          <w:tcPr>
            <w:tcW w:w="2448" w:type="dxa"/>
            <w:shd w:val="clear" w:color="auto" w:fill="FFFFFF"/>
          </w:tcPr>
          <w:p w14:paraId="1A4CE8A3" w14:textId="77777777" w:rsidR="005D10AC" w:rsidRDefault="00000000">
            <w:r>
              <w:rPr>
                <w:sz w:val="18"/>
              </w:rPr>
              <w:t>No</w:t>
            </w:r>
          </w:p>
        </w:tc>
      </w:tr>
      <w:tr w:rsidR="005D10AC" w14:paraId="6B764B09" w14:textId="77777777">
        <w:tc>
          <w:tcPr>
            <w:tcW w:w="2880" w:type="dxa"/>
            <w:shd w:val="clear" w:color="auto" w:fill="F5F5F5"/>
          </w:tcPr>
          <w:p w14:paraId="02F0DEBD" w14:textId="77777777" w:rsidR="005D10AC" w:rsidRDefault="00000000">
            <w:r>
              <w:rPr>
                <w:sz w:val="18"/>
              </w:rPr>
              <w:t>Company growth rate (mu)</w:t>
            </w:r>
          </w:p>
        </w:tc>
        <w:tc>
          <w:tcPr>
            <w:tcW w:w="3600" w:type="dxa"/>
            <w:shd w:val="clear" w:color="auto" w:fill="F5F5F5"/>
          </w:tcPr>
          <w:p w14:paraId="6D9DBABF" w14:textId="77777777" w:rsidR="005D10AC" w:rsidRDefault="00000000">
            <w:r>
              <w:rPr>
                <w:sz w:val="18"/>
              </w:rPr>
              <w:t>Yes — drives expected stock price drift</w:t>
            </w:r>
          </w:p>
        </w:tc>
        <w:tc>
          <w:tcPr>
            <w:tcW w:w="2448" w:type="dxa"/>
            <w:shd w:val="clear" w:color="auto" w:fill="F5F5F5"/>
          </w:tcPr>
          <w:p w14:paraId="5712132B" w14:textId="77777777" w:rsidR="005D10AC" w:rsidRDefault="00000000">
            <w:r>
              <w:rPr>
                <w:sz w:val="18"/>
              </w:rPr>
              <w:t>No</w:t>
            </w:r>
          </w:p>
        </w:tc>
      </w:tr>
      <w:tr w:rsidR="005D10AC" w14:paraId="5E81BFD8" w14:textId="77777777">
        <w:tc>
          <w:tcPr>
            <w:tcW w:w="2880" w:type="dxa"/>
            <w:shd w:val="clear" w:color="auto" w:fill="FFFFFF"/>
          </w:tcPr>
          <w:p w14:paraId="3429801F" w14:textId="77777777" w:rsidR="005D10AC" w:rsidRDefault="00000000">
            <w:r>
              <w:rPr>
                <w:sz w:val="18"/>
              </w:rPr>
              <w:t>Peer growth rate (mu_i)</w:t>
            </w:r>
          </w:p>
        </w:tc>
        <w:tc>
          <w:tcPr>
            <w:tcW w:w="3600" w:type="dxa"/>
            <w:shd w:val="clear" w:color="auto" w:fill="FFFFFF"/>
          </w:tcPr>
          <w:p w14:paraId="3724F5CF" w14:textId="77777777" w:rsidR="005D10AC" w:rsidRDefault="00000000">
            <w:r>
              <w:rPr>
                <w:sz w:val="18"/>
              </w:rPr>
              <w:t>Yes — drives expected peer drift, rTSR gap</w:t>
            </w:r>
          </w:p>
        </w:tc>
        <w:tc>
          <w:tcPr>
            <w:tcW w:w="2448" w:type="dxa"/>
            <w:shd w:val="clear" w:color="auto" w:fill="FFFFFF"/>
          </w:tcPr>
          <w:p w14:paraId="1FF6EA28" w14:textId="77777777" w:rsidR="005D10AC" w:rsidRDefault="00000000">
            <w:r>
              <w:rPr>
                <w:sz w:val="18"/>
              </w:rPr>
              <w:t>No</w:t>
            </w:r>
          </w:p>
        </w:tc>
      </w:tr>
    </w:tbl>
    <w:p w14:paraId="32A9ADF7" w14:textId="77777777" w:rsidR="005D10AC" w:rsidRDefault="005D10AC"/>
    <w:p w14:paraId="3283B72C" w14:textId="77777777" w:rsidR="005D10AC" w:rsidRDefault="00000000">
      <w:pPr>
        <w:spacing w:after="100"/>
      </w:pPr>
      <w:r>
        <w:rPr>
          <w:b/>
        </w:rPr>
        <w:t>Backend Change:</w:t>
      </w:r>
    </w:p>
    <w:p w14:paraId="0216CFAE" w14:textId="77777777" w:rsidR="005D10AC" w:rsidRDefault="00000000">
      <w:pPr>
        <w:shd w:val="clear" w:color="auto" w:fill="F0F0F0"/>
        <w:spacing w:before="80" w:after="160"/>
        <w:ind w:left="360"/>
      </w:pPr>
      <w:r>
        <w:rPr>
          <w:rFonts w:ascii="Courier New" w:hAnsi="Courier New"/>
          <w:sz w:val="17"/>
        </w:rPr>
        <w:t>def run_ltip_simulation(payload, market_data):</w:t>
      </w:r>
      <w:r>
        <w:rPr>
          <w:rFonts w:ascii="Courier New" w:hAnsi="Courier New"/>
          <w:sz w:val="17"/>
        </w:rPr>
        <w:br/>
        <w:t xml:space="preserve">    annual_vol    = market_data["annual_vol"].copy()</w:t>
      </w:r>
      <w:r>
        <w:rPr>
          <w:rFonts w:ascii="Courier New" w:hAnsi="Courier New"/>
          <w:sz w:val="17"/>
        </w:rPr>
        <w:br/>
        <w:t xml:space="preserve">    annual_return = market_data["annual_return"].copy()</w:t>
      </w:r>
      <w:r>
        <w:rPr>
          <w:rFonts w:ascii="Courier New" w:hAnsi="Courier New"/>
          <w:sz w:val="17"/>
        </w:rPr>
        <w:br/>
        <w:t xml:space="preserve">    for ticker, vol in payload.get("volatility_overrides", {}).items():</w:t>
      </w:r>
      <w:r>
        <w:rPr>
          <w:rFonts w:ascii="Courier New" w:hAnsi="Courier New"/>
          <w:sz w:val="17"/>
        </w:rPr>
        <w:br/>
        <w:t xml:space="preserve">        if ticker in annual_vol:</w:t>
      </w:r>
      <w:r>
        <w:rPr>
          <w:rFonts w:ascii="Courier New" w:hAnsi="Courier New"/>
          <w:sz w:val="17"/>
        </w:rPr>
        <w:br/>
        <w:t xml:space="preserve">            annual_vol[ticker] = float(vol)</w:t>
      </w:r>
      <w:r>
        <w:rPr>
          <w:rFonts w:ascii="Courier New" w:hAnsi="Courier New"/>
          <w:sz w:val="17"/>
        </w:rPr>
        <w:br/>
        <w:t xml:space="preserve">    for ticker, g in payload.get("growth_rate_overrides", {}).items():</w:t>
      </w:r>
      <w:r>
        <w:rPr>
          <w:rFonts w:ascii="Courier New" w:hAnsi="Courier New"/>
          <w:sz w:val="17"/>
        </w:rPr>
        <w:br/>
        <w:t xml:space="preserve">        if ticker in annual_return:</w:t>
      </w:r>
      <w:r>
        <w:rPr>
          <w:rFonts w:ascii="Courier New" w:hAnsi="Courier New"/>
          <w:sz w:val="17"/>
        </w:rPr>
        <w:br/>
        <w:t xml:space="preserve">            annual_return[ticker] = float(g)</w:t>
      </w:r>
      <w:r>
        <w:rPr>
          <w:rFonts w:ascii="Courier New" w:hAnsi="Courier New"/>
          <w:sz w:val="17"/>
        </w:rPr>
        <w:br/>
        <w:t xml:space="preserve">    mu_vec    = np.array([annual_return.get(t, 0.06) for t in tickers])</w:t>
      </w:r>
      <w:r>
        <w:rPr>
          <w:rFonts w:ascii="Courier New" w:hAnsi="Courier New"/>
          <w:sz w:val="17"/>
        </w:rPr>
        <w:br/>
        <w:t xml:space="preserve">    sigma_vec = np.array([annual_vol[t] for t in tickers])</w:t>
      </w:r>
      <w:r>
        <w:rPr>
          <w:rFonts w:ascii="Courier New" w:hAnsi="Courier New"/>
          <w:sz w:val="17"/>
        </w:rPr>
        <w:br/>
      </w:r>
    </w:p>
    <w:p w14:paraId="4029FEA2" w14:textId="77777777" w:rsidR="005D10AC" w:rsidRDefault="00000000">
      <w:pPr>
        <w:spacing w:after="100"/>
      </w:pPr>
      <w:r>
        <w:rPr>
          <w:b/>
        </w:rPr>
        <w:t>Frontend Change:</w:t>
      </w:r>
    </w:p>
    <w:p w14:paraId="261A5E14" w14:textId="77777777" w:rsidR="005D10AC" w:rsidRDefault="00000000">
      <w:pPr>
        <w:spacing w:after="100"/>
      </w:pPr>
      <w:r>
        <w:t>A collapsible section 'Override Forward-Looking Assumptions' in the Simulation Parameters panel contains a company volatility toggle and a peer override table:</w:t>
      </w:r>
    </w:p>
    <w:tbl>
      <w:tblPr>
        <w:tblStyle w:val="TableGrid"/>
        <w:tblW w:w="0" w:type="auto"/>
        <w:tblLook w:val="04A0" w:firstRow="1" w:lastRow="0" w:firstColumn="1" w:lastColumn="0" w:noHBand="0" w:noVBand="1"/>
      </w:tblPr>
      <w:tblGrid>
        <w:gridCol w:w="1152"/>
        <w:gridCol w:w="1872"/>
        <w:gridCol w:w="1872"/>
        <w:gridCol w:w="2160"/>
        <w:gridCol w:w="1872"/>
      </w:tblGrid>
      <w:tr w:rsidR="005D10AC" w14:paraId="461BCA0C" w14:textId="77777777">
        <w:tc>
          <w:tcPr>
            <w:tcW w:w="1152" w:type="dxa"/>
            <w:shd w:val="clear" w:color="auto" w:fill="0A192F"/>
          </w:tcPr>
          <w:p w14:paraId="5C97EBD9" w14:textId="77777777" w:rsidR="005D10AC" w:rsidRDefault="00000000">
            <w:r>
              <w:rPr>
                <w:b/>
                <w:color w:val="FFFFFF"/>
                <w:sz w:val="18"/>
              </w:rPr>
              <w:t>Peer</w:t>
            </w:r>
          </w:p>
        </w:tc>
        <w:tc>
          <w:tcPr>
            <w:tcW w:w="1872" w:type="dxa"/>
            <w:shd w:val="clear" w:color="auto" w:fill="0A192F"/>
          </w:tcPr>
          <w:p w14:paraId="4B3FC1B8" w14:textId="77777777" w:rsidR="005D10AC" w:rsidRDefault="00000000">
            <w:r>
              <w:rPr>
                <w:b/>
                <w:color w:val="FFFFFF"/>
                <w:sz w:val="18"/>
              </w:rPr>
              <w:t>Historical CAGR</w:t>
            </w:r>
          </w:p>
        </w:tc>
        <w:tc>
          <w:tcPr>
            <w:tcW w:w="1872" w:type="dxa"/>
            <w:shd w:val="clear" w:color="auto" w:fill="0A192F"/>
          </w:tcPr>
          <w:p w14:paraId="67F77A2C" w14:textId="77777777" w:rsidR="005D10AC" w:rsidRDefault="00000000">
            <w:r>
              <w:rPr>
                <w:b/>
                <w:color w:val="FFFFFF"/>
                <w:sz w:val="18"/>
              </w:rPr>
              <w:t>Override CAGR</w:t>
            </w:r>
          </w:p>
        </w:tc>
        <w:tc>
          <w:tcPr>
            <w:tcW w:w="2160" w:type="dxa"/>
            <w:shd w:val="clear" w:color="auto" w:fill="0A192F"/>
          </w:tcPr>
          <w:p w14:paraId="1C16CB05" w14:textId="77777777" w:rsidR="005D10AC" w:rsidRDefault="00000000">
            <w:r>
              <w:rPr>
                <w:b/>
                <w:color w:val="FFFFFF"/>
                <w:sz w:val="18"/>
              </w:rPr>
              <w:t>Historical Vol (s)</w:t>
            </w:r>
          </w:p>
        </w:tc>
        <w:tc>
          <w:tcPr>
            <w:tcW w:w="1872" w:type="dxa"/>
            <w:shd w:val="clear" w:color="auto" w:fill="0A192F"/>
          </w:tcPr>
          <w:p w14:paraId="31773AE9" w14:textId="77777777" w:rsidR="005D10AC" w:rsidRDefault="00000000">
            <w:r>
              <w:rPr>
                <w:b/>
                <w:color w:val="FFFFFF"/>
                <w:sz w:val="18"/>
              </w:rPr>
              <w:t>Override Vol (s)</w:t>
            </w:r>
          </w:p>
        </w:tc>
      </w:tr>
      <w:tr w:rsidR="005D10AC" w14:paraId="11C720B8" w14:textId="77777777">
        <w:tc>
          <w:tcPr>
            <w:tcW w:w="1152" w:type="dxa"/>
            <w:shd w:val="clear" w:color="auto" w:fill="F5F5F5"/>
          </w:tcPr>
          <w:p w14:paraId="3322FA30" w14:textId="77777777" w:rsidR="005D10AC" w:rsidRDefault="00000000">
            <w:r>
              <w:rPr>
                <w:sz w:val="18"/>
              </w:rPr>
              <w:t>CNQ</w:t>
            </w:r>
          </w:p>
        </w:tc>
        <w:tc>
          <w:tcPr>
            <w:tcW w:w="1872" w:type="dxa"/>
            <w:shd w:val="clear" w:color="auto" w:fill="F5F5F5"/>
          </w:tcPr>
          <w:p w14:paraId="5FE4D662" w14:textId="77777777" w:rsidR="005D10AC" w:rsidRDefault="00000000">
            <w:r>
              <w:rPr>
                <w:sz w:val="18"/>
              </w:rPr>
              <w:t>8.2%</w:t>
            </w:r>
          </w:p>
        </w:tc>
        <w:tc>
          <w:tcPr>
            <w:tcW w:w="1872" w:type="dxa"/>
            <w:shd w:val="clear" w:color="auto" w:fill="F5F5F5"/>
          </w:tcPr>
          <w:p w14:paraId="69014A5C" w14:textId="77777777" w:rsidR="005D10AC" w:rsidRDefault="00000000">
            <w:r>
              <w:rPr>
                <w:sz w:val="18"/>
              </w:rPr>
              <w:t>[ ___ ]</w:t>
            </w:r>
          </w:p>
        </w:tc>
        <w:tc>
          <w:tcPr>
            <w:tcW w:w="2160" w:type="dxa"/>
            <w:shd w:val="clear" w:color="auto" w:fill="F5F5F5"/>
          </w:tcPr>
          <w:p w14:paraId="718EA6AD" w14:textId="77777777" w:rsidR="005D10AC" w:rsidRDefault="00000000">
            <w:r>
              <w:rPr>
                <w:sz w:val="18"/>
              </w:rPr>
              <w:t>31.4%</w:t>
            </w:r>
          </w:p>
        </w:tc>
        <w:tc>
          <w:tcPr>
            <w:tcW w:w="1872" w:type="dxa"/>
            <w:shd w:val="clear" w:color="auto" w:fill="F5F5F5"/>
          </w:tcPr>
          <w:p w14:paraId="089D3356" w14:textId="77777777" w:rsidR="005D10AC" w:rsidRDefault="00000000">
            <w:r>
              <w:rPr>
                <w:sz w:val="18"/>
              </w:rPr>
              <w:t>[ ___ ]</w:t>
            </w:r>
          </w:p>
        </w:tc>
      </w:tr>
      <w:tr w:rsidR="005D10AC" w14:paraId="7C407564" w14:textId="77777777">
        <w:tc>
          <w:tcPr>
            <w:tcW w:w="1152" w:type="dxa"/>
            <w:shd w:val="clear" w:color="auto" w:fill="FFFFFF"/>
          </w:tcPr>
          <w:p w14:paraId="1F3EE858" w14:textId="77777777" w:rsidR="005D10AC" w:rsidRDefault="00000000">
            <w:r>
              <w:rPr>
                <w:sz w:val="18"/>
              </w:rPr>
              <w:t>TOU</w:t>
            </w:r>
          </w:p>
        </w:tc>
        <w:tc>
          <w:tcPr>
            <w:tcW w:w="1872" w:type="dxa"/>
            <w:shd w:val="clear" w:color="auto" w:fill="FFFFFF"/>
          </w:tcPr>
          <w:p w14:paraId="4B6445F8" w14:textId="77777777" w:rsidR="005D10AC" w:rsidRDefault="00000000">
            <w:r>
              <w:rPr>
                <w:sz w:val="18"/>
              </w:rPr>
              <w:t>6.7%</w:t>
            </w:r>
          </w:p>
        </w:tc>
        <w:tc>
          <w:tcPr>
            <w:tcW w:w="1872" w:type="dxa"/>
            <w:shd w:val="clear" w:color="auto" w:fill="FFFFFF"/>
          </w:tcPr>
          <w:p w14:paraId="60DD184E" w14:textId="77777777" w:rsidR="005D10AC" w:rsidRDefault="00000000">
            <w:r>
              <w:rPr>
                <w:sz w:val="18"/>
              </w:rPr>
              <w:t>[ ___ ]</w:t>
            </w:r>
          </w:p>
        </w:tc>
        <w:tc>
          <w:tcPr>
            <w:tcW w:w="2160" w:type="dxa"/>
            <w:shd w:val="clear" w:color="auto" w:fill="FFFFFF"/>
          </w:tcPr>
          <w:p w14:paraId="1CFA40AE" w14:textId="77777777" w:rsidR="005D10AC" w:rsidRDefault="00000000">
            <w:r>
              <w:rPr>
                <w:sz w:val="18"/>
              </w:rPr>
              <w:t>28.1%</w:t>
            </w:r>
          </w:p>
        </w:tc>
        <w:tc>
          <w:tcPr>
            <w:tcW w:w="1872" w:type="dxa"/>
            <w:shd w:val="clear" w:color="auto" w:fill="FFFFFF"/>
          </w:tcPr>
          <w:p w14:paraId="47900C9B" w14:textId="77777777" w:rsidR="005D10AC" w:rsidRDefault="00000000">
            <w:r>
              <w:rPr>
                <w:sz w:val="18"/>
              </w:rPr>
              <w:t>[ ___ ]</w:t>
            </w:r>
          </w:p>
        </w:tc>
      </w:tr>
    </w:tbl>
    <w:p w14:paraId="4FE46A6C" w14:textId="77777777" w:rsidR="005D10AC" w:rsidRDefault="005D10AC"/>
    <w:p w14:paraId="08D39D0F" w14:textId="77777777" w:rsidR="005D10AC" w:rsidRDefault="00000000">
      <w:pPr>
        <w:spacing w:after="100"/>
      </w:pPr>
      <w:r>
        <w:t>The Black-Scholes panel shows company volatility as a read-only display reflecting the active value (historical or overridden). Fields left blank use historical values.</w:t>
      </w:r>
    </w:p>
    <w:p w14:paraId="393D0A89" w14:textId="77777777" w:rsidR="005D10AC" w:rsidRDefault="005D10AC">
      <w:pPr>
        <w:pBdr>
          <w:bottom w:val="single" w:sz="6" w:space="1" w:color="FF6B00"/>
        </w:pBdr>
        <w:spacing w:before="40"/>
      </w:pPr>
    </w:p>
    <w:p w14:paraId="75CA0B8C" w14:textId="77777777" w:rsidR="005D10AC" w:rsidRDefault="00000000">
      <w:pPr>
        <w:spacing w:before="280" w:after="80"/>
      </w:pPr>
      <w:r>
        <w:rPr>
          <w:b/>
          <w:color w:val="FF6B00"/>
          <w:sz w:val="28"/>
        </w:rPr>
        <w:t>Priority 4 — Per-Vehicle Result Breakdown</w:t>
      </w:r>
    </w:p>
    <w:p w14:paraId="6329FBA2" w14:textId="77777777" w:rsidR="005D10AC" w:rsidRDefault="00000000">
      <w:pPr>
        <w:spacing w:after="100"/>
      </w:pPr>
      <w:r>
        <w:lastRenderedPageBreak/>
        <w:t>The simulation already returns per-vehicle values at each percentile. This priority makes that breakdown visible as a contribution table, enabling consultants to quantify what each vehicle is contributing to total realised value.</w:t>
      </w:r>
    </w:p>
    <w:p w14:paraId="5CA766C4" w14:textId="77777777" w:rsidR="005D10AC" w:rsidRDefault="00000000">
      <w:pPr>
        <w:spacing w:after="100"/>
      </w:pPr>
      <w:r>
        <w:rPr>
          <w:i/>
        </w:rPr>
        <w:t>Backend Change: None — the data already exists in the simulation output.</w:t>
      </w:r>
    </w:p>
    <w:p w14:paraId="1D1E6325" w14:textId="77777777" w:rsidR="005D10AC" w:rsidRDefault="00000000">
      <w:pPr>
        <w:spacing w:after="100"/>
      </w:pPr>
      <w:r>
        <w:rPr>
          <w:b/>
        </w:rPr>
        <w:t>Frontend Change:</w:t>
      </w:r>
    </w:p>
    <w:tbl>
      <w:tblPr>
        <w:tblStyle w:val="TableGrid"/>
        <w:tblW w:w="0" w:type="auto"/>
        <w:tblLook w:val="04A0" w:firstRow="1" w:lastRow="0" w:firstColumn="1" w:lastColumn="0" w:noHBand="0" w:noVBand="1"/>
      </w:tblPr>
      <w:tblGrid>
        <w:gridCol w:w="1872"/>
        <w:gridCol w:w="2304"/>
        <w:gridCol w:w="2304"/>
        <w:gridCol w:w="2304"/>
      </w:tblGrid>
      <w:tr w:rsidR="005D10AC" w14:paraId="30D5D041" w14:textId="77777777">
        <w:tc>
          <w:tcPr>
            <w:tcW w:w="1872" w:type="dxa"/>
            <w:shd w:val="clear" w:color="auto" w:fill="0A192F"/>
          </w:tcPr>
          <w:p w14:paraId="31CE322C" w14:textId="77777777" w:rsidR="005D10AC" w:rsidRDefault="00000000">
            <w:r>
              <w:rPr>
                <w:b/>
                <w:color w:val="FFFFFF"/>
                <w:sz w:val="18"/>
              </w:rPr>
              <w:t>Vehicle</w:t>
            </w:r>
          </w:p>
        </w:tc>
        <w:tc>
          <w:tcPr>
            <w:tcW w:w="2304" w:type="dxa"/>
            <w:shd w:val="clear" w:color="auto" w:fill="0A192F"/>
          </w:tcPr>
          <w:p w14:paraId="4E679082" w14:textId="77777777" w:rsidR="005D10AC" w:rsidRDefault="00000000">
            <w:r>
              <w:rPr>
                <w:b/>
                <w:color w:val="FFFFFF"/>
                <w:sz w:val="18"/>
              </w:rPr>
              <w:t>Bear Case</w:t>
            </w:r>
          </w:p>
        </w:tc>
        <w:tc>
          <w:tcPr>
            <w:tcW w:w="2304" w:type="dxa"/>
            <w:shd w:val="clear" w:color="auto" w:fill="0A192F"/>
          </w:tcPr>
          <w:p w14:paraId="761FB2D9" w14:textId="77777777" w:rsidR="005D10AC" w:rsidRDefault="00000000">
            <w:r>
              <w:rPr>
                <w:b/>
                <w:color w:val="FFFFFF"/>
                <w:sz w:val="18"/>
              </w:rPr>
              <w:t>Base Case</w:t>
            </w:r>
          </w:p>
        </w:tc>
        <w:tc>
          <w:tcPr>
            <w:tcW w:w="2304" w:type="dxa"/>
            <w:shd w:val="clear" w:color="auto" w:fill="0A192F"/>
          </w:tcPr>
          <w:p w14:paraId="391D370D" w14:textId="77777777" w:rsidR="005D10AC" w:rsidRDefault="00000000">
            <w:r>
              <w:rPr>
                <w:b/>
                <w:color w:val="FFFFFF"/>
                <w:sz w:val="18"/>
              </w:rPr>
              <w:t>Bull Case</w:t>
            </w:r>
          </w:p>
        </w:tc>
      </w:tr>
      <w:tr w:rsidR="005D10AC" w14:paraId="1409C678" w14:textId="77777777">
        <w:tc>
          <w:tcPr>
            <w:tcW w:w="1872" w:type="dxa"/>
            <w:shd w:val="clear" w:color="auto" w:fill="F5F5F5"/>
          </w:tcPr>
          <w:p w14:paraId="15A321FC" w14:textId="77777777" w:rsidR="005D10AC" w:rsidRDefault="00000000">
            <w:r>
              <w:rPr>
                <w:sz w:val="18"/>
              </w:rPr>
              <w:t>RSU</w:t>
            </w:r>
          </w:p>
        </w:tc>
        <w:tc>
          <w:tcPr>
            <w:tcW w:w="2304" w:type="dxa"/>
            <w:shd w:val="clear" w:color="auto" w:fill="F5F5F5"/>
          </w:tcPr>
          <w:p w14:paraId="2E5B8841" w14:textId="77777777" w:rsidR="005D10AC" w:rsidRDefault="00000000">
            <w:r>
              <w:rPr>
                <w:sz w:val="18"/>
              </w:rPr>
              <w:t>$X (X%)</w:t>
            </w:r>
          </w:p>
        </w:tc>
        <w:tc>
          <w:tcPr>
            <w:tcW w:w="2304" w:type="dxa"/>
            <w:shd w:val="clear" w:color="auto" w:fill="F5F5F5"/>
          </w:tcPr>
          <w:p w14:paraId="0886F8F0" w14:textId="77777777" w:rsidR="005D10AC" w:rsidRDefault="00000000">
            <w:r>
              <w:rPr>
                <w:sz w:val="18"/>
              </w:rPr>
              <w:t>$X (X%)</w:t>
            </w:r>
          </w:p>
        </w:tc>
        <w:tc>
          <w:tcPr>
            <w:tcW w:w="2304" w:type="dxa"/>
            <w:shd w:val="clear" w:color="auto" w:fill="F5F5F5"/>
          </w:tcPr>
          <w:p w14:paraId="3D08C210" w14:textId="77777777" w:rsidR="005D10AC" w:rsidRDefault="00000000">
            <w:r>
              <w:rPr>
                <w:sz w:val="18"/>
              </w:rPr>
              <w:t>$X (X%)</w:t>
            </w:r>
          </w:p>
        </w:tc>
      </w:tr>
      <w:tr w:rsidR="005D10AC" w14:paraId="0184299E" w14:textId="77777777">
        <w:tc>
          <w:tcPr>
            <w:tcW w:w="1872" w:type="dxa"/>
            <w:shd w:val="clear" w:color="auto" w:fill="FFFFFF"/>
          </w:tcPr>
          <w:p w14:paraId="560F9739" w14:textId="77777777" w:rsidR="005D10AC" w:rsidRDefault="00000000">
            <w:r>
              <w:rPr>
                <w:sz w:val="18"/>
              </w:rPr>
              <w:t>PSU</w:t>
            </w:r>
          </w:p>
        </w:tc>
        <w:tc>
          <w:tcPr>
            <w:tcW w:w="2304" w:type="dxa"/>
            <w:shd w:val="clear" w:color="auto" w:fill="FFFFFF"/>
          </w:tcPr>
          <w:p w14:paraId="2F29574D" w14:textId="77777777" w:rsidR="005D10AC" w:rsidRDefault="00000000">
            <w:r>
              <w:rPr>
                <w:sz w:val="18"/>
              </w:rPr>
              <w:t>$X (X%)</w:t>
            </w:r>
          </w:p>
        </w:tc>
        <w:tc>
          <w:tcPr>
            <w:tcW w:w="2304" w:type="dxa"/>
            <w:shd w:val="clear" w:color="auto" w:fill="FFFFFF"/>
          </w:tcPr>
          <w:p w14:paraId="6006E689" w14:textId="77777777" w:rsidR="005D10AC" w:rsidRDefault="00000000">
            <w:r>
              <w:rPr>
                <w:sz w:val="18"/>
              </w:rPr>
              <w:t>$X (X%)</w:t>
            </w:r>
          </w:p>
        </w:tc>
        <w:tc>
          <w:tcPr>
            <w:tcW w:w="2304" w:type="dxa"/>
            <w:shd w:val="clear" w:color="auto" w:fill="FFFFFF"/>
          </w:tcPr>
          <w:p w14:paraId="03C6ED24" w14:textId="77777777" w:rsidR="005D10AC" w:rsidRDefault="00000000">
            <w:r>
              <w:rPr>
                <w:sz w:val="18"/>
              </w:rPr>
              <w:t>$X (X%)</w:t>
            </w:r>
          </w:p>
        </w:tc>
      </w:tr>
      <w:tr w:rsidR="005D10AC" w14:paraId="0363B2A9" w14:textId="77777777">
        <w:tc>
          <w:tcPr>
            <w:tcW w:w="1872" w:type="dxa"/>
            <w:shd w:val="clear" w:color="auto" w:fill="F5F5F5"/>
          </w:tcPr>
          <w:p w14:paraId="463D33F7" w14:textId="77777777" w:rsidR="005D10AC" w:rsidRDefault="00000000">
            <w:r>
              <w:rPr>
                <w:sz w:val="18"/>
              </w:rPr>
              <w:t>Options</w:t>
            </w:r>
          </w:p>
        </w:tc>
        <w:tc>
          <w:tcPr>
            <w:tcW w:w="2304" w:type="dxa"/>
            <w:shd w:val="clear" w:color="auto" w:fill="F5F5F5"/>
          </w:tcPr>
          <w:p w14:paraId="34FF72F5" w14:textId="77777777" w:rsidR="005D10AC" w:rsidRDefault="00000000">
            <w:r>
              <w:rPr>
                <w:sz w:val="18"/>
              </w:rPr>
              <w:t>$X (X%)</w:t>
            </w:r>
          </w:p>
        </w:tc>
        <w:tc>
          <w:tcPr>
            <w:tcW w:w="2304" w:type="dxa"/>
            <w:shd w:val="clear" w:color="auto" w:fill="F5F5F5"/>
          </w:tcPr>
          <w:p w14:paraId="46E9F958" w14:textId="77777777" w:rsidR="005D10AC" w:rsidRDefault="00000000">
            <w:r>
              <w:rPr>
                <w:sz w:val="18"/>
              </w:rPr>
              <w:t>$X (X%)</w:t>
            </w:r>
          </w:p>
        </w:tc>
        <w:tc>
          <w:tcPr>
            <w:tcW w:w="2304" w:type="dxa"/>
            <w:shd w:val="clear" w:color="auto" w:fill="F5F5F5"/>
          </w:tcPr>
          <w:p w14:paraId="190F84BB" w14:textId="77777777" w:rsidR="005D10AC" w:rsidRDefault="00000000">
            <w:r>
              <w:rPr>
                <w:sz w:val="18"/>
              </w:rPr>
              <w:t>$X (X%)</w:t>
            </w:r>
          </w:p>
        </w:tc>
      </w:tr>
      <w:tr w:rsidR="005D10AC" w14:paraId="0650E6AB" w14:textId="77777777">
        <w:tc>
          <w:tcPr>
            <w:tcW w:w="1872" w:type="dxa"/>
            <w:shd w:val="clear" w:color="auto" w:fill="FFFFFF"/>
          </w:tcPr>
          <w:p w14:paraId="22C99DC4" w14:textId="77777777" w:rsidR="005D10AC" w:rsidRDefault="00000000">
            <w:r>
              <w:rPr>
                <w:b/>
                <w:sz w:val="18"/>
              </w:rPr>
              <w:t>Total</w:t>
            </w:r>
          </w:p>
        </w:tc>
        <w:tc>
          <w:tcPr>
            <w:tcW w:w="2304" w:type="dxa"/>
            <w:shd w:val="clear" w:color="auto" w:fill="FFFFFF"/>
          </w:tcPr>
          <w:p w14:paraId="2BB62DAA" w14:textId="77777777" w:rsidR="005D10AC" w:rsidRDefault="00000000">
            <w:r>
              <w:rPr>
                <w:b/>
                <w:sz w:val="18"/>
              </w:rPr>
              <w:t>$X</w:t>
            </w:r>
          </w:p>
        </w:tc>
        <w:tc>
          <w:tcPr>
            <w:tcW w:w="2304" w:type="dxa"/>
            <w:shd w:val="clear" w:color="auto" w:fill="FFFFFF"/>
          </w:tcPr>
          <w:p w14:paraId="070294D9" w14:textId="77777777" w:rsidR="005D10AC" w:rsidRDefault="00000000">
            <w:r>
              <w:rPr>
                <w:b/>
                <w:sz w:val="18"/>
              </w:rPr>
              <w:t>$X</w:t>
            </w:r>
          </w:p>
        </w:tc>
        <w:tc>
          <w:tcPr>
            <w:tcW w:w="2304" w:type="dxa"/>
            <w:shd w:val="clear" w:color="auto" w:fill="FFFFFF"/>
          </w:tcPr>
          <w:p w14:paraId="09150441" w14:textId="77777777" w:rsidR="005D10AC" w:rsidRDefault="00000000">
            <w:r>
              <w:rPr>
                <w:b/>
                <w:sz w:val="18"/>
              </w:rPr>
              <w:t>$X</w:t>
            </w:r>
          </w:p>
        </w:tc>
      </w:tr>
    </w:tbl>
    <w:p w14:paraId="68ADD24F" w14:textId="77777777" w:rsidR="005D10AC" w:rsidRDefault="005D10AC"/>
    <w:p w14:paraId="6F6A16A2" w14:textId="77777777" w:rsidR="005D10AC" w:rsidRDefault="00000000">
      <w:pPr>
        <w:spacing w:after="100"/>
      </w:pPr>
      <w:r>
        <w:t>Percentage = that vehicle's share of total for that scenario. Computed in the frontend from existing data. A fourth row in purple is added when performance stock options are present.</w:t>
      </w:r>
    </w:p>
    <w:p w14:paraId="53F3414E" w14:textId="77777777" w:rsidR="005D10AC" w:rsidRDefault="005D10AC">
      <w:pPr>
        <w:pBdr>
          <w:bottom w:val="single" w:sz="6" w:space="1" w:color="FF6B00"/>
        </w:pBdr>
        <w:spacing w:before="40"/>
      </w:pPr>
    </w:p>
    <w:p w14:paraId="361D424D" w14:textId="77777777" w:rsidR="005D10AC" w:rsidRDefault="00000000">
      <w:pPr>
        <w:spacing w:before="280" w:after="80"/>
      </w:pPr>
      <w:r>
        <w:rPr>
          <w:b/>
          <w:color w:val="FF6B00"/>
          <w:sz w:val="28"/>
        </w:rPr>
        <w:t>Priority 5 — Multi-Year Average Measurement (Bundled with Priority 1)</w:t>
      </w:r>
    </w:p>
    <w:p w14:paraId="1B854C35" w14:textId="77777777" w:rsidR="005D10AC" w:rsidRDefault="00000000">
      <w:pPr>
        <w:spacing w:after="100"/>
      </w:pPr>
      <w:r>
        <w:t>The measurement_type: 'period_average' path in run_metric_monte_carlo() documented under Priority 1 covers this. No additional work required.</w:t>
      </w:r>
    </w:p>
    <w:p w14:paraId="63C944A0" w14:textId="77777777" w:rsidR="005D10AC" w:rsidRDefault="00000000">
      <w:pPr>
        <w:spacing w:after="100"/>
      </w:pPr>
      <w:r>
        <w:t>Example configuration:</w:t>
      </w:r>
    </w:p>
    <w:p w14:paraId="3B5A90E2" w14:textId="77777777" w:rsidR="005D10AC" w:rsidRDefault="00000000">
      <w:pPr>
        <w:pStyle w:val="ListBullet"/>
        <w:spacing w:after="60"/>
        <w:ind w:left="432"/>
      </w:pPr>
      <w:r>
        <w:t>Metric: ROE, Starting value: 14.2%, Growth: +1%/year, Volatility: 2.5%</w:t>
      </w:r>
    </w:p>
    <w:p w14:paraId="1C74F104" w14:textId="77777777" w:rsidR="005D10AC" w:rsidRDefault="00000000">
      <w:pPr>
        <w:pStyle w:val="ListBullet"/>
        <w:spacing w:after="60"/>
        <w:ind w:left="432"/>
      </w:pPr>
      <w:r>
        <w:t>Measurement: average ROE across years 1-5, tested once at end of period</w:t>
      </w:r>
    </w:p>
    <w:p w14:paraId="4D4EE1CC" w14:textId="77777777" w:rsidR="005D10AC" w:rsidRDefault="00000000">
      <w:pPr>
        <w:pStyle w:val="ListBullet"/>
        <w:spacing w:after="60"/>
        <w:ind w:left="432"/>
      </w:pPr>
      <w:r>
        <w:t>Payout curve: threshold 13%, target 14.5%, max 16%</w:t>
      </w:r>
    </w:p>
    <w:p w14:paraId="6639238D" w14:textId="77777777" w:rsidR="005D10AC" w:rsidRDefault="005D10AC">
      <w:pPr>
        <w:pBdr>
          <w:bottom w:val="single" w:sz="6" w:space="1" w:color="FF6B00"/>
        </w:pBdr>
        <w:spacing w:before="40"/>
      </w:pPr>
    </w:p>
    <w:p w14:paraId="3915CD43" w14:textId="77777777" w:rsidR="005D10AC" w:rsidRDefault="00000000">
      <w:pPr>
        <w:spacing w:before="280" w:after="80"/>
      </w:pPr>
      <w:r>
        <w:rPr>
          <w:b/>
          <w:color w:val="FF6B00"/>
          <w:sz w:val="28"/>
        </w:rPr>
        <w:t>Priority 6 — Goal-Setting Probability Output</w:t>
      </w:r>
    </w:p>
    <w:p w14:paraId="1470528B" w14:textId="77777777" w:rsidR="005D10AC" w:rsidRDefault="00000000">
      <w:pPr>
        <w:spacing w:after="100"/>
      </w:pPr>
      <w:r>
        <w:t>A use case the platform does not currently support: using the Monte Carlo simulation in reverse to answer 'given these assumptions, what should the threshold, target, and maximum levels be set at?' This is distinct from the current flow, which asks 'given fixed goals, what will the payout distribution be?'</w:t>
      </w:r>
    </w:p>
    <w:p w14:paraId="341B51C0" w14:textId="77777777" w:rsidR="005D10AC" w:rsidRDefault="00000000">
      <w:pPr>
        <w:spacing w:after="100"/>
      </w:pPr>
      <w:r>
        <w:t>Example output:</w:t>
      </w:r>
    </w:p>
    <w:p w14:paraId="171BEF85" w14:textId="77777777" w:rsidR="005D10AC" w:rsidRDefault="00000000">
      <w:pPr>
        <w:shd w:val="clear" w:color="auto" w:fill="F0F0F0"/>
        <w:spacing w:before="80" w:after="160"/>
        <w:ind w:left="360"/>
      </w:pPr>
      <w:r>
        <w:rPr>
          <w:rFonts w:ascii="Courier New" w:hAnsi="Courier New"/>
          <w:sz w:val="17"/>
        </w:rPr>
        <w:t>Metric: Pre-Tax Profit    Starting value: $2,323M    Volatility: 64%</w:t>
      </w:r>
      <w:r>
        <w:rPr>
          <w:rFonts w:ascii="Courier New" w:hAnsi="Courier New"/>
          <w:sz w:val="17"/>
        </w:rPr>
        <w:br/>
      </w:r>
      <w:r>
        <w:rPr>
          <w:rFonts w:ascii="Courier New" w:hAnsi="Courier New"/>
          <w:sz w:val="17"/>
        </w:rPr>
        <w:br/>
        <w:t>Probability of Achievement    Implied Goal Level</w:t>
      </w:r>
      <w:r>
        <w:rPr>
          <w:rFonts w:ascii="Courier New" w:hAnsi="Courier New"/>
          <w:sz w:val="17"/>
        </w:rPr>
        <w:br/>
        <w:t xml:space="preserve">          90%  (Threshold)    $307M     &lt;- easy to hit, right level for threshold</w:t>
      </w:r>
      <w:r>
        <w:rPr>
          <w:rFonts w:ascii="Courier New" w:hAnsi="Courier New"/>
          <w:sz w:val="17"/>
        </w:rPr>
        <w:br/>
        <w:t xml:space="preserve">          50%  (Target)       $1,643M   &lt;- median outcome, right level for target</w:t>
      </w:r>
      <w:r>
        <w:rPr>
          <w:rFonts w:ascii="Courier New" w:hAnsi="Courier New"/>
          <w:sz w:val="17"/>
        </w:rPr>
        <w:br/>
        <w:t xml:space="preserve">          10%  (Maximum)      $2,981M   &lt;- only 10% chance, genuinely stretch</w:t>
      </w:r>
      <w:r>
        <w:rPr>
          <w:rFonts w:ascii="Courier New" w:hAnsi="Courier New"/>
          <w:sz w:val="17"/>
        </w:rPr>
        <w:br/>
      </w:r>
    </w:p>
    <w:p w14:paraId="25C080B5" w14:textId="77777777" w:rsidR="005D10AC" w:rsidRDefault="00000000">
      <w:pPr>
        <w:spacing w:after="100"/>
      </w:pPr>
      <w:r>
        <w:t>The choice of historical lookback period used to derive volatility significantly impacts the width of the goal range. The lookback selector makes this sensitivity visible and adjustable.</w:t>
      </w:r>
    </w:p>
    <w:p w14:paraId="65166CDA" w14:textId="77777777" w:rsidR="005D10AC" w:rsidRDefault="00000000">
      <w:pPr>
        <w:spacing w:after="100"/>
      </w:pPr>
      <w:r>
        <w:rPr>
          <w:b/>
        </w:rPr>
        <w:t>Backend Change — STIP simulation:</w:t>
      </w:r>
    </w:p>
    <w:p w14:paraId="285AE3E1" w14:textId="77777777" w:rsidR="005D10AC" w:rsidRDefault="00000000">
      <w:pPr>
        <w:shd w:val="clear" w:color="auto" w:fill="F0F0F0"/>
        <w:spacing w:before="80" w:after="160"/>
        <w:ind w:left="360"/>
      </w:pPr>
      <w:r>
        <w:rPr>
          <w:rFonts w:ascii="Courier New" w:hAnsi="Courier New"/>
          <w:sz w:val="17"/>
        </w:rPr>
        <w:t>def run_stip_simulation(payload: dict) -&gt; dict:</w:t>
      </w:r>
      <w:r>
        <w:rPr>
          <w:rFonts w:ascii="Courier New" w:hAnsi="Courier New"/>
          <w:sz w:val="17"/>
        </w:rPr>
        <w:br/>
        <w:t xml:space="preserve">    # ... existing simulation logic ...</w:t>
      </w:r>
      <w:r>
        <w:rPr>
          <w:rFonts w:ascii="Courier New" w:hAnsi="Courier New"/>
          <w:sz w:val="17"/>
        </w:rPr>
        <w:br/>
        <w:t xml:space="preserve">    goal_setting = {}</w:t>
      </w:r>
      <w:r>
        <w:rPr>
          <w:rFonts w:ascii="Courier New" w:hAnsi="Courier New"/>
          <w:sz w:val="17"/>
        </w:rPr>
        <w:br/>
        <w:t xml:space="preserve">    for i, metric in enumerate(metrics):</w:t>
      </w:r>
      <w:r>
        <w:rPr>
          <w:rFonts w:ascii="Courier New" w:hAnsi="Courier New"/>
          <w:sz w:val="17"/>
        </w:rPr>
        <w:br/>
      </w:r>
      <w:r>
        <w:rPr>
          <w:rFonts w:ascii="Courier New" w:hAnsi="Courier New"/>
          <w:sz w:val="17"/>
        </w:rPr>
        <w:lastRenderedPageBreak/>
        <w:t xml:space="preserve">        metric_sims = achievement[i] * metric["budget_target"]</w:t>
      </w:r>
      <w:r>
        <w:rPr>
          <w:rFonts w:ascii="Courier New" w:hAnsi="Courier New"/>
          <w:sz w:val="17"/>
        </w:rPr>
        <w:br/>
        <w:t xml:space="preserve">        goal_setting[metric["name"]] = {</w:t>
      </w:r>
      <w:r>
        <w:rPr>
          <w:rFonts w:ascii="Courier New" w:hAnsi="Courier New"/>
          <w:sz w:val="17"/>
        </w:rPr>
        <w:br/>
        <w:t xml:space="preserve">            "threshold_90pct": float(np.percentile(metric_sims, 10)),</w:t>
      </w:r>
      <w:r>
        <w:rPr>
          <w:rFonts w:ascii="Courier New" w:hAnsi="Courier New"/>
          <w:sz w:val="17"/>
        </w:rPr>
        <w:br/>
        <w:t xml:space="preserve">            "target_50pct":    float(np.percentile(metric_sims, 50)),</w:t>
      </w:r>
      <w:r>
        <w:rPr>
          <w:rFonts w:ascii="Courier New" w:hAnsi="Courier New"/>
          <w:sz w:val="17"/>
        </w:rPr>
        <w:br/>
        <w:t xml:space="preserve">            "max_10pct":       float(np.percentile(metric_sims, 90)),</w:t>
      </w:r>
      <w:r>
        <w:rPr>
          <w:rFonts w:ascii="Courier New" w:hAnsi="Courier New"/>
          <w:sz w:val="17"/>
        </w:rPr>
        <w:br/>
        <w:t xml:space="preserve">        }</w:t>
      </w:r>
      <w:r>
        <w:rPr>
          <w:rFonts w:ascii="Courier New" w:hAnsi="Courier New"/>
          <w:sz w:val="17"/>
        </w:rPr>
        <w:br/>
        <w:t xml:space="preserve">    return { ...existing outputs..., "goal_setting": goal_setting }</w:t>
      </w:r>
      <w:r>
        <w:rPr>
          <w:rFonts w:ascii="Courier New" w:hAnsi="Courier New"/>
          <w:sz w:val="17"/>
        </w:rPr>
        <w:br/>
      </w:r>
    </w:p>
    <w:p w14:paraId="41E4EBCE" w14:textId="77777777" w:rsidR="005D10AC" w:rsidRDefault="00000000">
      <w:pPr>
        <w:spacing w:after="100"/>
      </w:pPr>
      <w:r>
        <w:rPr>
          <w:b/>
        </w:rPr>
        <w:t>Frontend Change:</w:t>
      </w:r>
    </w:p>
    <w:p w14:paraId="0637191A" w14:textId="77777777" w:rsidR="005D10AC" w:rsidRDefault="00000000">
      <w:pPr>
        <w:spacing w:after="100"/>
      </w:pPr>
      <w:r>
        <w:t>New collapsible section in STIP results: 'Goal-Setting Recommendation.' Shows a probability table per metric. A lookback period selector is added to the Simulation Parameters panel:</w:t>
      </w:r>
    </w:p>
    <w:tbl>
      <w:tblPr>
        <w:tblStyle w:val="TableGrid"/>
        <w:tblW w:w="0" w:type="auto"/>
        <w:tblLook w:val="04A0" w:firstRow="1" w:lastRow="0" w:firstColumn="1" w:lastColumn="0" w:noHBand="0" w:noVBand="1"/>
      </w:tblPr>
      <w:tblGrid>
        <w:gridCol w:w="2160"/>
        <w:gridCol w:w="6768"/>
      </w:tblGrid>
      <w:tr w:rsidR="005D10AC" w14:paraId="5E00CDD5" w14:textId="77777777">
        <w:tc>
          <w:tcPr>
            <w:tcW w:w="2160" w:type="dxa"/>
            <w:shd w:val="clear" w:color="auto" w:fill="0A192F"/>
          </w:tcPr>
          <w:p w14:paraId="0ACAB711" w14:textId="77777777" w:rsidR="005D10AC" w:rsidRDefault="00000000">
            <w:r>
              <w:rPr>
                <w:b/>
                <w:color w:val="FFFFFF"/>
                <w:sz w:val="18"/>
              </w:rPr>
              <w:t>Option</w:t>
            </w:r>
          </w:p>
        </w:tc>
        <w:tc>
          <w:tcPr>
            <w:tcW w:w="6768" w:type="dxa"/>
            <w:shd w:val="clear" w:color="auto" w:fill="0A192F"/>
          </w:tcPr>
          <w:p w14:paraId="1DDDB8A2" w14:textId="77777777" w:rsidR="005D10AC" w:rsidRDefault="00000000">
            <w:r>
              <w:rPr>
                <w:b/>
                <w:color w:val="FFFFFF"/>
                <w:sz w:val="18"/>
              </w:rPr>
              <w:t>Description</w:t>
            </w:r>
          </w:p>
        </w:tc>
      </w:tr>
      <w:tr w:rsidR="005D10AC" w14:paraId="55DC2B13" w14:textId="77777777">
        <w:tc>
          <w:tcPr>
            <w:tcW w:w="2160" w:type="dxa"/>
            <w:shd w:val="clear" w:color="auto" w:fill="F5F5F5"/>
          </w:tcPr>
          <w:p w14:paraId="5FE539F2" w14:textId="77777777" w:rsidR="005D10AC" w:rsidRDefault="00000000">
            <w:r>
              <w:rPr>
                <w:sz w:val="18"/>
              </w:rPr>
              <w:t>3-year</w:t>
            </w:r>
          </w:p>
        </w:tc>
        <w:tc>
          <w:tcPr>
            <w:tcW w:w="6768" w:type="dxa"/>
            <w:shd w:val="clear" w:color="auto" w:fill="F5F5F5"/>
          </w:tcPr>
          <w:p w14:paraId="77ECE362" w14:textId="77777777" w:rsidR="005D10AC" w:rsidRDefault="00000000">
            <w:r>
              <w:rPr>
                <w:sz w:val="18"/>
              </w:rPr>
              <w:t>Only most recent 3 years of price history</w:t>
            </w:r>
          </w:p>
        </w:tc>
      </w:tr>
      <w:tr w:rsidR="005D10AC" w14:paraId="6192C954" w14:textId="77777777">
        <w:tc>
          <w:tcPr>
            <w:tcW w:w="2160" w:type="dxa"/>
            <w:shd w:val="clear" w:color="auto" w:fill="FFFFFF"/>
          </w:tcPr>
          <w:p w14:paraId="7A6D5722" w14:textId="77777777" w:rsidR="005D10AC" w:rsidRDefault="00000000">
            <w:r>
              <w:rPr>
                <w:sz w:val="18"/>
              </w:rPr>
              <w:t>5-year</w:t>
            </w:r>
          </w:p>
        </w:tc>
        <w:tc>
          <w:tcPr>
            <w:tcW w:w="6768" w:type="dxa"/>
            <w:shd w:val="clear" w:color="auto" w:fill="FFFFFF"/>
          </w:tcPr>
          <w:p w14:paraId="4FB4AE62" w14:textId="77777777" w:rsidR="005D10AC" w:rsidRDefault="00000000">
            <w:r>
              <w:rPr>
                <w:sz w:val="18"/>
              </w:rPr>
              <w:t>Only most recent 5 years</w:t>
            </w:r>
          </w:p>
        </w:tc>
      </w:tr>
      <w:tr w:rsidR="005D10AC" w14:paraId="2D179B93" w14:textId="77777777">
        <w:tc>
          <w:tcPr>
            <w:tcW w:w="2160" w:type="dxa"/>
            <w:shd w:val="clear" w:color="auto" w:fill="F5F5F5"/>
          </w:tcPr>
          <w:p w14:paraId="574292A7" w14:textId="77777777" w:rsidR="005D10AC" w:rsidRDefault="00000000">
            <w:r>
              <w:rPr>
                <w:sz w:val="18"/>
              </w:rPr>
              <w:t>7-year</w:t>
            </w:r>
          </w:p>
        </w:tc>
        <w:tc>
          <w:tcPr>
            <w:tcW w:w="6768" w:type="dxa"/>
            <w:shd w:val="clear" w:color="auto" w:fill="F5F5F5"/>
          </w:tcPr>
          <w:p w14:paraId="3000E32A" w14:textId="77777777" w:rsidR="005D10AC" w:rsidRDefault="00000000">
            <w:r>
              <w:rPr>
                <w:sz w:val="18"/>
              </w:rPr>
              <w:t>Only most recent 7 years</w:t>
            </w:r>
          </w:p>
        </w:tc>
      </w:tr>
      <w:tr w:rsidR="005D10AC" w14:paraId="671B9ED1" w14:textId="77777777">
        <w:tc>
          <w:tcPr>
            <w:tcW w:w="2160" w:type="dxa"/>
            <w:shd w:val="clear" w:color="auto" w:fill="FFFFFF"/>
          </w:tcPr>
          <w:p w14:paraId="7DB81DA8" w14:textId="77777777" w:rsidR="005D10AC" w:rsidRDefault="00000000">
            <w:r>
              <w:rPr>
                <w:sz w:val="18"/>
              </w:rPr>
              <w:t>10-year</w:t>
            </w:r>
          </w:p>
        </w:tc>
        <w:tc>
          <w:tcPr>
            <w:tcW w:w="6768" w:type="dxa"/>
            <w:shd w:val="clear" w:color="auto" w:fill="FFFFFF"/>
          </w:tcPr>
          <w:p w14:paraId="1B56AC45" w14:textId="77777777" w:rsidR="005D10AC" w:rsidRDefault="00000000">
            <w:r>
              <w:rPr>
                <w:sz w:val="18"/>
              </w:rPr>
              <w:t>Only most recent 10 years</w:t>
            </w:r>
          </w:p>
        </w:tc>
      </w:tr>
      <w:tr w:rsidR="005D10AC" w14:paraId="6FF9F602" w14:textId="77777777">
        <w:tc>
          <w:tcPr>
            <w:tcW w:w="2160" w:type="dxa"/>
            <w:shd w:val="clear" w:color="auto" w:fill="F5F5F5"/>
          </w:tcPr>
          <w:p w14:paraId="29A8AA45" w14:textId="77777777" w:rsidR="005D10AC" w:rsidRDefault="00000000">
            <w:r>
              <w:rPr>
                <w:sz w:val="18"/>
              </w:rPr>
              <w:t>Full history</w:t>
            </w:r>
          </w:p>
        </w:tc>
        <w:tc>
          <w:tcPr>
            <w:tcW w:w="6768" w:type="dxa"/>
            <w:shd w:val="clear" w:color="auto" w:fill="F5F5F5"/>
          </w:tcPr>
          <w:p w14:paraId="4698D396" w14:textId="77777777" w:rsidR="005D10AC" w:rsidRDefault="00000000">
            <w:r>
              <w:rPr>
                <w:sz w:val="18"/>
              </w:rPr>
              <w:t>All uploaded data (current default — backwards compatible)</w:t>
            </w:r>
          </w:p>
        </w:tc>
      </w:tr>
    </w:tbl>
    <w:p w14:paraId="635FA6BB" w14:textId="77777777" w:rsidR="005D10AC" w:rsidRDefault="005D10AC"/>
    <w:p w14:paraId="678C4573" w14:textId="77777777" w:rsidR="005D10AC" w:rsidRDefault="00000000">
      <w:pPr>
        <w:spacing w:after="100"/>
      </w:pPr>
      <w:r>
        <w:t>All window volatilities are pre-computed at upload time. Changing the lookback re-runs the simulation with the selected window.</w:t>
      </w:r>
    </w:p>
    <w:p w14:paraId="0B512DBD" w14:textId="77777777" w:rsidR="005D10AC" w:rsidRDefault="005D10AC">
      <w:pPr>
        <w:pBdr>
          <w:bottom w:val="single" w:sz="6" w:space="1" w:color="FF6B00"/>
        </w:pBdr>
        <w:spacing w:before="40"/>
      </w:pPr>
    </w:p>
    <w:p w14:paraId="445460C9" w14:textId="77777777" w:rsidR="005D10AC" w:rsidRDefault="00000000">
      <w:pPr>
        <w:spacing w:before="280" w:after="80"/>
      </w:pPr>
      <w:r>
        <w:rPr>
          <w:b/>
          <w:color w:val="0E7490"/>
          <w:sz w:val="26"/>
        </w:rPr>
        <w:t>PSU with Stock Price Hurdles — Future Build</w:t>
      </w:r>
    </w:p>
    <w:p w14:paraId="7411D08A" w14:textId="77777777" w:rsidR="005D10AC" w:rsidRDefault="00000000">
      <w:pPr>
        <w:spacing w:after="100"/>
      </w:pPr>
      <w:r>
        <w:t>This design uses PSUs where vesting is triggered by the stock price hitting specific absolute dollar targets during the performance window, not by a financial metric or rTSR ranking.</w:t>
      </w:r>
    </w:p>
    <w:p w14:paraId="6A7A2FF2" w14:textId="77777777" w:rsidR="005D10AC" w:rsidRDefault="00000000">
      <w:pPr>
        <w:spacing w:after="100"/>
      </w:pPr>
      <w:r>
        <w:t>How it works:</w:t>
      </w:r>
    </w:p>
    <w:p w14:paraId="6C8E53D1" w14:textId="77777777" w:rsidR="005D10AC" w:rsidRDefault="00000000">
      <w:pPr>
        <w:pStyle w:val="ListBullet"/>
        <w:spacing w:after="60"/>
        <w:ind w:left="432"/>
      </w:pPr>
      <w:r>
        <w:t>Four price hurdles, each unlocking a tranche of PSUs</w:t>
      </w:r>
    </w:p>
    <w:p w14:paraId="2B327143" w14:textId="77777777" w:rsidR="005D10AC" w:rsidRDefault="00000000">
      <w:pPr>
        <w:pStyle w:val="ListBullet"/>
        <w:spacing w:after="60"/>
        <w:ind w:left="432"/>
      </w:pPr>
      <w:r>
        <w:t>A tranche vests if the stock holds the target price for a minimum period (e.g. 2 consecutive months) at any point within the 5-year window</w:t>
      </w:r>
    </w:p>
    <w:p w14:paraId="492FE664" w14:textId="77777777" w:rsidR="005D10AC" w:rsidRDefault="00000000">
      <w:pPr>
        <w:pStyle w:val="ListBullet"/>
        <w:spacing w:after="60"/>
        <w:ind w:left="432"/>
      </w:pPr>
      <w:r>
        <w:t>Accounting classification: market condition under IFRS/US GAAP — expense is recognized regardless of whether the hurdle is ever achieved</w:t>
      </w:r>
    </w:p>
    <w:p w14:paraId="4DA65601" w14:textId="77777777" w:rsidR="005D10AC" w:rsidRDefault="00000000">
      <w:pPr>
        <w:spacing w:after="100"/>
      </w:pPr>
      <w:r>
        <w:t>Why it is a future build: The current GBM simulation only looks at terminal stock price. Price-hurdle PSUs require path-dependent simulation — checking whether the stock touched the target at any point along the path. This requires step-by-step simulation at monthly or weekly resolution and is significantly more computationally intensive.</w:t>
      </w:r>
    </w:p>
    <w:p w14:paraId="013E4FBD" w14:textId="77777777" w:rsidR="005D10AC" w:rsidRDefault="005D10AC">
      <w:pPr>
        <w:pBdr>
          <w:bottom w:val="single" w:sz="6" w:space="1" w:color="FF6B00"/>
        </w:pBdr>
        <w:spacing w:before="40"/>
      </w:pPr>
    </w:p>
    <w:p w14:paraId="4E85C44D" w14:textId="77777777" w:rsidR="005D10AC" w:rsidRDefault="00000000">
      <w:pPr>
        <w:spacing w:before="280" w:after="80"/>
      </w:pPr>
      <w:r>
        <w:rPr>
          <w:b/>
          <w:color w:val="0A192F"/>
          <w:sz w:val="28"/>
        </w:rPr>
        <w:t>Summary &amp; Estimated Timeline</w:t>
      </w:r>
    </w:p>
    <w:tbl>
      <w:tblPr>
        <w:tblStyle w:val="TableGrid"/>
        <w:tblW w:w="0" w:type="auto"/>
        <w:tblLook w:val="04A0" w:firstRow="1" w:lastRow="0" w:firstColumn="1" w:lastColumn="0" w:noHBand="0" w:noVBand="1"/>
      </w:tblPr>
      <w:tblGrid>
        <w:gridCol w:w="974"/>
        <w:gridCol w:w="2390"/>
        <w:gridCol w:w="1994"/>
        <w:gridCol w:w="1998"/>
        <w:gridCol w:w="1136"/>
        <w:gridCol w:w="1130"/>
      </w:tblGrid>
      <w:tr w:rsidR="005D10AC" w14:paraId="39908B0B" w14:textId="77777777">
        <w:tc>
          <w:tcPr>
            <w:tcW w:w="1008" w:type="dxa"/>
            <w:shd w:val="clear" w:color="auto" w:fill="0A192F"/>
          </w:tcPr>
          <w:p w14:paraId="7CC8921D" w14:textId="77777777" w:rsidR="005D10AC" w:rsidRDefault="00000000">
            <w:r>
              <w:rPr>
                <w:b/>
                <w:color w:val="FFFFFF"/>
                <w:sz w:val="18"/>
              </w:rPr>
              <w:t>Priority</w:t>
            </w:r>
          </w:p>
        </w:tc>
        <w:tc>
          <w:tcPr>
            <w:tcW w:w="2592" w:type="dxa"/>
            <w:shd w:val="clear" w:color="auto" w:fill="0A192F"/>
          </w:tcPr>
          <w:p w14:paraId="359A6D87" w14:textId="77777777" w:rsidR="005D10AC" w:rsidRDefault="00000000">
            <w:r>
              <w:rPr>
                <w:b/>
                <w:color w:val="FFFFFF"/>
                <w:sz w:val="18"/>
              </w:rPr>
              <w:t>Feature</w:t>
            </w:r>
          </w:p>
        </w:tc>
        <w:tc>
          <w:tcPr>
            <w:tcW w:w="2160" w:type="dxa"/>
            <w:shd w:val="clear" w:color="auto" w:fill="0A192F"/>
          </w:tcPr>
          <w:p w14:paraId="0068ABCA" w14:textId="77777777" w:rsidR="005D10AC" w:rsidRDefault="00000000">
            <w:r>
              <w:rPr>
                <w:b/>
                <w:color w:val="FFFFFF"/>
                <w:sz w:val="18"/>
              </w:rPr>
              <w:t>Backend</w:t>
            </w:r>
          </w:p>
        </w:tc>
        <w:tc>
          <w:tcPr>
            <w:tcW w:w="2160" w:type="dxa"/>
            <w:shd w:val="clear" w:color="auto" w:fill="0A192F"/>
          </w:tcPr>
          <w:p w14:paraId="4A930C65" w14:textId="77777777" w:rsidR="005D10AC" w:rsidRDefault="00000000">
            <w:r>
              <w:rPr>
                <w:b/>
                <w:color w:val="FFFFFF"/>
                <w:sz w:val="18"/>
              </w:rPr>
              <w:t>Frontend</w:t>
            </w:r>
          </w:p>
        </w:tc>
        <w:tc>
          <w:tcPr>
            <w:tcW w:w="1224" w:type="dxa"/>
            <w:shd w:val="clear" w:color="auto" w:fill="0A192F"/>
          </w:tcPr>
          <w:p w14:paraId="064F5863" w14:textId="77777777" w:rsidR="005D10AC" w:rsidRDefault="00000000">
            <w:r>
              <w:rPr>
                <w:b/>
                <w:color w:val="FFFFFF"/>
                <w:sz w:val="18"/>
              </w:rPr>
              <w:t>Build</w:t>
            </w:r>
          </w:p>
        </w:tc>
        <w:tc>
          <w:tcPr>
            <w:tcW w:w="1224" w:type="dxa"/>
            <w:shd w:val="clear" w:color="auto" w:fill="0A192F"/>
          </w:tcPr>
          <w:p w14:paraId="2CFE79B9" w14:textId="77777777" w:rsidR="005D10AC" w:rsidRDefault="00000000">
            <w:r>
              <w:rPr>
                <w:b/>
                <w:color w:val="FFFFFF"/>
                <w:sz w:val="18"/>
              </w:rPr>
              <w:t>Test</w:t>
            </w:r>
          </w:p>
        </w:tc>
      </w:tr>
      <w:tr w:rsidR="005D10AC" w14:paraId="5FDDC68D" w14:textId="77777777">
        <w:tc>
          <w:tcPr>
            <w:tcW w:w="1008" w:type="dxa"/>
            <w:shd w:val="clear" w:color="auto" w:fill="F5F5F5"/>
          </w:tcPr>
          <w:p w14:paraId="793300DB" w14:textId="77777777" w:rsidR="005D10AC" w:rsidRDefault="00000000">
            <w:r>
              <w:rPr>
                <w:sz w:val="18"/>
              </w:rPr>
              <w:t>1 + 5</w:t>
            </w:r>
          </w:p>
        </w:tc>
        <w:tc>
          <w:tcPr>
            <w:tcW w:w="2592" w:type="dxa"/>
            <w:shd w:val="clear" w:color="auto" w:fill="F5F5F5"/>
          </w:tcPr>
          <w:p w14:paraId="34B4C5EC" w14:textId="77777777" w:rsidR="005D10AC" w:rsidRDefault="00000000">
            <w:r>
              <w:rPr>
                <w:sz w:val="18"/>
              </w:rPr>
              <w:t>Performance stock options + multi-year average</w:t>
            </w:r>
          </w:p>
        </w:tc>
        <w:tc>
          <w:tcPr>
            <w:tcW w:w="2160" w:type="dxa"/>
            <w:shd w:val="clear" w:color="auto" w:fill="F5F5F5"/>
          </w:tcPr>
          <w:p w14:paraId="1619CC06" w14:textId="77777777" w:rsidR="005D10AC" w:rsidRDefault="00000000">
            <w:r>
              <w:rPr>
                <w:sz w:val="18"/>
              </w:rPr>
              <w:t>High — new Monte Carlo function, new API fields</w:t>
            </w:r>
          </w:p>
        </w:tc>
        <w:tc>
          <w:tcPr>
            <w:tcW w:w="2160" w:type="dxa"/>
            <w:shd w:val="clear" w:color="auto" w:fill="F5F5F5"/>
          </w:tcPr>
          <w:p w14:paraId="76B4BB1F" w14:textId="77777777" w:rsidR="005D10AC" w:rsidRDefault="00000000">
            <w:r>
              <w:rPr>
                <w:sz w:val="18"/>
              </w:rPr>
              <w:t>High — 3 sub-panels, per-year curve tabs</w:t>
            </w:r>
          </w:p>
        </w:tc>
        <w:tc>
          <w:tcPr>
            <w:tcW w:w="1224" w:type="dxa"/>
            <w:shd w:val="clear" w:color="auto" w:fill="F5F5F5"/>
          </w:tcPr>
          <w:p w14:paraId="0E7B9644" w14:textId="77777777" w:rsidR="005D10AC" w:rsidRDefault="00000000">
            <w:r>
              <w:rPr>
                <w:sz w:val="18"/>
              </w:rPr>
              <w:t>3-4 days</w:t>
            </w:r>
          </w:p>
        </w:tc>
        <w:tc>
          <w:tcPr>
            <w:tcW w:w="1224" w:type="dxa"/>
            <w:shd w:val="clear" w:color="auto" w:fill="F5F5F5"/>
          </w:tcPr>
          <w:p w14:paraId="364067E0" w14:textId="77777777" w:rsidR="005D10AC" w:rsidRDefault="00000000">
            <w:r>
              <w:rPr>
                <w:sz w:val="18"/>
              </w:rPr>
              <w:t>1-2 days</w:t>
            </w:r>
          </w:p>
        </w:tc>
      </w:tr>
      <w:tr w:rsidR="005D10AC" w14:paraId="2B7E5FEC" w14:textId="77777777">
        <w:tc>
          <w:tcPr>
            <w:tcW w:w="1008" w:type="dxa"/>
            <w:shd w:val="clear" w:color="auto" w:fill="FFFFFF"/>
          </w:tcPr>
          <w:p w14:paraId="5A1708AE" w14:textId="77777777" w:rsidR="005D10AC" w:rsidRDefault="00000000">
            <w:r>
              <w:rPr>
                <w:sz w:val="18"/>
              </w:rPr>
              <w:t>2</w:t>
            </w:r>
          </w:p>
        </w:tc>
        <w:tc>
          <w:tcPr>
            <w:tcW w:w="2592" w:type="dxa"/>
            <w:shd w:val="clear" w:color="auto" w:fill="FFFFFF"/>
          </w:tcPr>
          <w:p w14:paraId="40B4E5E9" w14:textId="77777777" w:rsidR="005D10AC" w:rsidRDefault="00000000">
            <w:r>
              <w:rPr>
                <w:sz w:val="18"/>
              </w:rPr>
              <w:t>Per-metric curves (STIP + PSU)</w:t>
            </w:r>
          </w:p>
        </w:tc>
        <w:tc>
          <w:tcPr>
            <w:tcW w:w="2160" w:type="dxa"/>
            <w:shd w:val="clear" w:color="auto" w:fill="FFFFFF"/>
          </w:tcPr>
          <w:p w14:paraId="76E4E84B" w14:textId="77777777" w:rsidR="005D10AC" w:rsidRDefault="00000000">
            <w:r>
              <w:rPr>
                <w:sz w:val="18"/>
              </w:rPr>
              <w:t>Low — 15-line change per engine</w:t>
            </w:r>
          </w:p>
        </w:tc>
        <w:tc>
          <w:tcPr>
            <w:tcW w:w="2160" w:type="dxa"/>
            <w:shd w:val="clear" w:color="auto" w:fill="FFFFFF"/>
          </w:tcPr>
          <w:p w14:paraId="46B07E7B" w14:textId="77777777" w:rsidR="005D10AC" w:rsidRDefault="00000000">
            <w:r>
              <w:rPr>
                <w:sz w:val="18"/>
              </w:rPr>
              <w:t>Medium — repeatable curve panels</w:t>
            </w:r>
          </w:p>
        </w:tc>
        <w:tc>
          <w:tcPr>
            <w:tcW w:w="1224" w:type="dxa"/>
            <w:shd w:val="clear" w:color="auto" w:fill="FFFFFF"/>
          </w:tcPr>
          <w:p w14:paraId="7BF10A9F" w14:textId="77777777" w:rsidR="005D10AC" w:rsidRDefault="00000000">
            <w:r>
              <w:rPr>
                <w:sz w:val="18"/>
              </w:rPr>
              <w:t>1.5 days</w:t>
            </w:r>
          </w:p>
        </w:tc>
        <w:tc>
          <w:tcPr>
            <w:tcW w:w="1224" w:type="dxa"/>
            <w:shd w:val="clear" w:color="auto" w:fill="FFFFFF"/>
          </w:tcPr>
          <w:p w14:paraId="69318313" w14:textId="77777777" w:rsidR="005D10AC" w:rsidRDefault="00000000">
            <w:r>
              <w:rPr>
                <w:sz w:val="18"/>
              </w:rPr>
              <w:t>0.5 days</w:t>
            </w:r>
          </w:p>
        </w:tc>
      </w:tr>
      <w:tr w:rsidR="005D10AC" w14:paraId="7B2DE43B" w14:textId="77777777">
        <w:tc>
          <w:tcPr>
            <w:tcW w:w="1008" w:type="dxa"/>
            <w:shd w:val="clear" w:color="auto" w:fill="F5F5F5"/>
          </w:tcPr>
          <w:p w14:paraId="2A32A96B" w14:textId="77777777" w:rsidR="005D10AC" w:rsidRDefault="00000000">
            <w:r>
              <w:rPr>
                <w:sz w:val="18"/>
              </w:rPr>
              <w:t>3</w:t>
            </w:r>
          </w:p>
        </w:tc>
        <w:tc>
          <w:tcPr>
            <w:tcW w:w="2592" w:type="dxa"/>
            <w:shd w:val="clear" w:color="auto" w:fill="F5F5F5"/>
          </w:tcPr>
          <w:p w14:paraId="749A28B0" w14:textId="77777777" w:rsidR="005D10AC" w:rsidRDefault="00000000">
            <w:r>
              <w:rPr>
                <w:sz w:val="18"/>
              </w:rPr>
              <w:t>Forward-looking assumptions (vol + CAGR overrides)</w:t>
            </w:r>
          </w:p>
        </w:tc>
        <w:tc>
          <w:tcPr>
            <w:tcW w:w="2160" w:type="dxa"/>
            <w:shd w:val="clear" w:color="auto" w:fill="F5F5F5"/>
          </w:tcPr>
          <w:p w14:paraId="5917D854" w14:textId="77777777" w:rsidR="005D10AC" w:rsidRDefault="00000000">
            <w:r>
              <w:rPr>
                <w:sz w:val="18"/>
              </w:rPr>
              <w:t>Low — optional override dicts, ~20 lines</w:t>
            </w:r>
          </w:p>
        </w:tc>
        <w:tc>
          <w:tcPr>
            <w:tcW w:w="2160" w:type="dxa"/>
            <w:shd w:val="clear" w:color="auto" w:fill="F5F5F5"/>
          </w:tcPr>
          <w:p w14:paraId="02D2FA0B" w14:textId="77777777" w:rsidR="005D10AC" w:rsidRDefault="00000000">
            <w:r>
              <w:rPr>
                <w:sz w:val="18"/>
              </w:rPr>
              <w:t>Medium — override section in sim params</w:t>
            </w:r>
          </w:p>
        </w:tc>
        <w:tc>
          <w:tcPr>
            <w:tcW w:w="1224" w:type="dxa"/>
            <w:shd w:val="clear" w:color="auto" w:fill="F5F5F5"/>
          </w:tcPr>
          <w:p w14:paraId="72CF1E35" w14:textId="77777777" w:rsidR="005D10AC" w:rsidRDefault="00000000">
            <w:r>
              <w:rPr>
                <w:sz w:val="18"/>
              </w:rPr>
              <w:t>1 day</w:t>
            </w:r>
          </w:p>
        </w:tc>
        <w:tc>
          <w:tcPr>
            <w:tcW w:w="1224" w:type="dxa"/>
            <w:shd w:val="clear" w:color="auto" w:fill="F5F5F5"/>
          </w:tcPr>
          <w:p w14:paraId="0EC6C986" w14:textId="77777777" w:rsidR="005D10AC" w:rsidRDefault="00000000">
            <w:r>
              <w:rPr>
                <w:sz w:val="18"/>
              </w:rPr>
              <w:t>0.5 days</w:t>
            </w:r>
          </w:p>
        </w:tc>
      </w:tr>
      <w:tr w:rsidR="005D10AC" w14:paraId="60F33593" w14:textId="77777777">
        <w:tc>
          <w:tcPr>
            <w:tcW w:w="1008" w:type="dxa"/>
            <w:shd w:val="clear" w:color="auto" w:fill="FFFFFF"/>
          </w:tcPr>
          <w:p w14:paraId="2A99A15F" w14:textId="77777777" w:rsidR="005D10AC" w:rsidRDefault="00000000">
            <w:r>
              <w:rPr>
                <w:sz w:val="18"/>
              </w:rPr>
              <w:lastRenderedPageBreak/>
              <w:t>4</w:t>
            </w:r>
          </w:p>
        </w:tc>
        <w:tc>
          <w:tcPr>
            <w:tcW w:w="2592" w:type="dxa"/>
            <w:shd w:val="clear" w:color="auto" w:fill="FFFFFF"/>
          </w:tcPr>
          <w:p w14:paraId="62D08FC1" w14:textId="77777777" w:rsidR="005D10AC" w:rsidRDefault="00000000">
            <w:r>
              <w:rPr>
                <w:sz w:val="18"/>
              </w:rPr>
              <w:t>Per-vehicle result breakdown table</w:t>
            </w:r>
          </w:p>
        </w:tc>
        <w:tc>
          <w:tcPr>
            <w:tcW w:w="2160" w:type="dxa"/>
            <w:shd w:val="clear" w:color="auto" w:fill="FFFFFF"/>
          </w:tcPr>
          <w:p w14:paraId="7627BB92" w14:textId="77777777" w:rsidR="005D10AC" w:rsidRDefault="00000000">
            <w:r>
              <w:rPr>
                <w:sz w:val="18"/>
              </w:rPr>
              <w:t>None</w:t>
            </w:r>
          </w:p>
        </w:tc>
        <w:tc>
          <w:tcPr>
            <w:tcW w:w="2160" w:type="dxa"/>
            <w:shd w:val="clear" w:color="auto" w:fill="FFFFFF"/>
          </w:tcPr>
          <w:p w14:paraId="6D53D5C9" w14:textId="77777777" w:rsidR="005D10AC" w:rsidRDefault="00000000">
            <w:r>
              <w:rPr>
                <w:sz w:val="18"/>
              </w:rPr>
              <w:t>Low — frontend calc on existing data</w:t>
            </w:r>
          </w:p>
        </w:tc>
        <w:tc>
          <w:tcPr>
            <w:tcW w:w="1224" w:type="dxa"/>
            <w:shd w:val="clear" w:color="auto" w:fill="FFFFFF"/>
          </w:tcPr>
          <w:p w14:paraId="443D62B3" w14:textId="77777777" w:rsidR="005D10AC" w:rsidRDefault="00000000">
            <w:r>
              <w:rPr>
                <w:sz w:val="18"/>
              </w:rPr>
              <w:t>0.5 days</w:t>
            </w:r>
          </w:p>
        </w:tc>
        <w:tc>
          <w:tcPr>
            <w:tcW w:w="1224" w:type="dxa"/>
            <w:shd w:val="clear" w:color="auto" w:fill="FFFFFF"/>
          </w:tcPr>
          <w:p w14:paraId="02004F6A" w14:textId="77777777" w:rsidR="005D10AC" w:rsidRDefault="00000000">
            <w:r>
              <w:rPr>
                <w:sz w:val="18"/>
              </w:rPr>
              <w:t>0.25 days</w:t>
            </w:r>
          </w:p>
        </w:tc>
      </w:tr>
      <w:tr w:rsidR="005D10AC" w14:paraId="23D4EE84" w14:textId="77777777">
        <w:tc>
          <w:tcPr>
            <w:tcW w:w="1008" w:type="dxa"/>
            <w:shd w:val="clear" w:color="auto" w:fill="F5F5F5"/>
          </w:tcPr>
          <w:p w14:paraId="6D5B3EB7" w14:textId="77777777" w:rsidR="005D10AC" w:rsidRDefault="00000000">
            <w:r>
              <w:rPr>
                <w:sz w:val="18"/>
              </w:rPr>
              <w:t>6</w:t>
            </w:r>
          </w:p>
        </w:tc>
        <w:tc>
          <w:tcPr>
            <w:tcW w:w="2592" w:type="dxa"/>
            <w:shd w:val="clear" w:color="auto" w:fill="F5F5F5"/>
          </w:tcPr>
          <w:p w14:paraId="6081DC0E" w14:textId="77777777" w:rsidR="005D10AC" w:rsidRDefault="00000000">
            <w:r>
              <w:rPr>
                <w:sz w:val="18"/>
              </w:rPr>
              <w:t>Goal-setting probability output + lookback selector</w:t>
            </w:r>
          </w:p>
        </w:tc>
        <w:tc>
          <w:tcPr>
            <w:tcW w:w="2160" w:type="dxa"/>
            <w:shd w:val="clear" w:color="auto" w:fill="F5F5F5"/>
          </w:tcPr>
          <w:p w14:paraId="70E3DC60" w14:textId="77777777" w:rsidR="005D10AC" w:rsidRDefault="00000000">
            <w:r>
              <w:rPr>
                <w:sz w:val="18"/>
              </w:rPr>
              <w:t>Low — percentile read on existing simulation</w:t>
            </w:r>
          </w:p>
        </w:tc>
        <w:tc>
          <w:tcPr>
            <w:tcW w:w="2160" w:type="dxa"/>
            <w:shd w:val="clear" w:color="auto" w:fill="F5F5F5"/>
          </w:tcPr>
          <w:p w14:paraId="708A402A" w14:textId="77777777" w:rsidR="005D10AC" w:rsidRDefault="00000000">
            <w:r>
              <w:rPr>
                <w:sz w:val="18"/>
              </w:rPr>
              <w:t>Medium — new results section + dropdown</w:t>
            </w:r>
          </w:p>
        </w:tc>
        <w:tc>
          <w:tcPr>
            <w:tcW w:w="1224" w:type="dxa"/>
            <w:shd w:val="clear" w:color="auto" w:fill="F5F5F5"/>
          </w:tcPr>
          <w:p w14:paraId="02CC7DAD" w14:textId="77777777" w:rsidR="005D10AC" w:rsidRDefault="00000000">
            <w:r>
              <w:rPr>
                <w:sz w:val="18"/>
              </w:rPr>
              <w:t>1 day</w:t>
            </w:r>
          </w:p>
        </w:tc>
        <w:tc>
          <w:tcPr>
            <w:tcW w:w="1224" w:type="dxa"/>
            <w:shd w:val="clear" w:color="auto" w:fill="F5F5F5"/>
          </w:tcPr>
          <w:p w14:paraId="79FE1768" w14:textId="77777777" w:rsidR="005D10AC" w:rsidRDefault="00000000">
            <w:r>
              <w:rPr>
                <w:sz w:val="18"/>
              </w:rPr>
              <w:t>0.5 days</w:t>
            </w:r>
          </w:p>
        </w:tc>
      </w:tr>
      <w:tr w:rsidR="005D10AC" w14:paraId="42B79B30" w14:textId="77777777">
        <w:tc>
          <w:tcPr>
            <w:tcW w:w="1008" w:type="dxa"/>
            <w:shd w:val="clear" w:color="auto" w:fill="FFFFFF"/>
          </w:tcPr>
          <w:p w14:paraId="3ACF0091" w14:textId="77777777" w:rsidR="005D10AC" w:rsidRDefault="00000000">
            <w:r>
              <w:rPr>
                <w:b/>
                <w:sz w:val="18"/>
              </w:rPr>
              <w:t>Total</w:t>
            </w:r>
          </w:p>
        </w:tc>
        <w:tc>
          <w:tcPr>
            <w:tcW w:w="2592" w:type="dxa"/>
            <w:shd w:val="clear" w:color="auto" w:fill="FFFFFF"/>
          </w:tcPr>
          <w:p w14:paraId="32558083" w14:textId="77777777" w:rsidR="005D10AC" w:rsidRDefault="005D10AC"/>
        </w:tc>
        <w:tc>
          <w:tcPr>
            <w:tcW w:w="2160" w:type="dxa"/>
            <w:shd w:val="clear" w:color="auto" w:fill="FFFFFF"/>
          </w:tcPr>
          <w:p w14:paraId="152FE028" w14:textId="77777777" w:rsidR="005D10AC" w:rsidRDefault="005D10AC"/>
        </w:tc>
        <w:tc>
          <w:tcPr>
            <w:tcW w:w="2160" w:type="dxa"/>
            <w:shd w:val="clear" w:color="auto" w:fill="FFFFFF"/>
          </w:tcPr>
          <w:p w14:paraId="68B72BB5" w14:textId="77777777" w:rsidR="005D10AC" w:rsidRDefault="005D10AC"/>
        </w:tc>
        <w:tc>
          <w:tcPr>
            <w:tcW w:w="1224" w:type="dxa"/>
            <w:shd w:val="clear" w:color="auto" w:fill="FFFFFF"/>
          </w:tcPr>
          <w:p w14:paraId="56149C0A" w14:textId="77777777" w:rsidR="005D10AC" w:rsidRDefault="00000000">
            <w:r>
              <w:rPr>
                <w:b/>
                <w:sz w:val="18"/>
              </w:rPr>
              <w:t>7-8 days build</w:t>
            </w:r>
          </w:p>
        </w:tc>
        <w:tc>
          <w:tcPr>
            <w:tcW w:w="1224" w:type="dxa"/>
            <w:shd w:val="clear" w:color="auto" w:fill="FFFFFF"/>
          </w:tcPr>
          <w:p w14:paraId="6FB30AF0" w14:textId="77777777" w:rsidR="005D10AC" w:rsidRDefault="00000000">
            <w:r>
              <w:rPr>
                <w:b/>
                <w:sz w:val="18"/>
              </w:rPr>
              <w:t>3-4 days test</w:t>
            </w:r>
          </w:p>
        </w:tc>
      </w:tr>
    </w:tbl>
    <w:p w14:paraId="18C95FF9" w14:textId="77777777" w:rsidR="005D10AC" w:rsidRDefault="005D10AC"/>
    <w:p w14:paraId="00739DA4" w14:textId="77777777" w:rsidR="005D10AC" w:rsidRDefault="00000000">
      <w:pPr>
        <w:spacing w:after="100"/>
      </w:pPr>
      <w:r>
        <w:rPr>
          <w:b/>
        </w:rPr>
        <w:t>Recommended build order: 4 -&gt; 3 -&gt; 2 -&gt; 6 -&gt; 1+5</w:t>
      </w:r>
    </w:p>
    <w:p w14:paraId="6E73494F" w14:textId="77777777" w:rsidR="005D10AC" w:rsidRDefault="00000000">
      <w:pPr>
        <w:spacing w:after="100"/>
      </w:pPr>
      <w:r>
        <w:t>Future build (not Phase 2): PSU with stock price hurdles (path-dependent simulation), backtesting of historical financial metric data.</w:t>
      </w:r>
    </w:p>
    <w:p w14:paraId="57D04666" w14:textId="77777777" w:rsidR="005D10AC" w:rsidRDefault="005D10AC">
      <w:pPr>
        <w:pBdr>
          <w:bottom w:val="single" w:sz="6" w:space="1" w:color="FF6B00"/>
        </w:pBdr>
        <w:spacing w:before="40"/>
      </w:pPr>
    </w:p>
    <w:p w14:paraId="6C298F3E" w14:textId="77777777" w:rsidR="005D10AC" w:rsidRDefault="00000000">
      <w:pPr>
        <w:spacing w:after="100"/>
      </w:pPr>
      <w:r>
        <w:rPr>
          <w:b/>
        </w:rPr>
        <w:t>Design Principles (Unchanged from Phase 1)</w:t>
      </w:r>
    </w:p>
    <w:p w14:paraId="116935B6" w14:textId="77777777" w:rsidR="005D10AC" w:rsidRDefault="00000000">
      <w:pPr>
        <w:pStyle w:val="ListBullet"/>
        <w:spacing w:after="60"/>
        <w:ind w:left="432"/>
      </w:pPr>
      <w:r>
        <w:t>All new inputs default to backwards-compatible values — no existing simulation is broken</w:t>
      </w:r>
    </w:p>
    <w:p w14:paraId="0C3E4815" w14:textId="77777777" w:rsidR="005D10AC" w:rsidRDefault="00000000">
      <w:pPr>
        <w:pStyle w:val="ListBullet"/>
        <w:spacing w:after="60"/>
        <w:ind w:left="432"/>
      </w:pPr>
      <w:r>
        <w:t>New vehicles and overrides are opt-in — if weights are 0 and no overrides are set, Phase 1 behaviour is unchanged</w:t>
      </w:r>
    </w:p>
    <w:p w14:paraId="4C60139D" w14:textId="77777777" w:rsidR="005D10AC" w:rsidRDefault="00000000">
      <w:pPr>
        <w:pStyle w:val="ListBullet"/>
        <w:spacing w:after="60"/>
        <w:ind w:left="432"/>
      </w:pPr>
      <w:r>
        <w:t>The platform remains general-purpose — metric names, curve shapes, growth rates, and measurement types are all user-configurable; nothing is hardcoded to a specific client design</w:t>
      </w:r>
    </w:p>
    <w:p w14:paraId="1CDD3A8A" w14:textId="77777777" w:rsidR="005D10AC" w:rsidRDefault="00000000">
      <w:pPr>
        <w:pStyle w:val="ListBullet"/>
        <w:spacing w:after="60"/>
        <w:ind w:left="432"/>
      </w:pPr>
      <w:r>
        <w:t>Brand colours: Navy #0A192F, Orange #FF6B00, Teal #0E7490, Purple #7C3AED (performance options)</w:t>
      </w:r>
    </w:p>
    <w:p w14:paraId="6E1B8510" w14:textId="0CD69F10" w:rsidR="005D10AC" w:rsidRDefault="005D10AC">
      <w:pPr>
        <w:spacing w:before="400"/>
      </w:pPr>
    </w:p>
    <w:sectPr w:rsidR="005D10A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43158">
    <w:abstractNumId w:val="8"/>
  </w:num>
  <w:num w:numId="2" w16cid:durableId="2130542488">
    <w:abstractNumId w:val="6"/>
  </w:num>
  <w:num w:numId="3" w16cid:durableId="214466291">
    <w:abstractNumId w:val="5"/>
  </w:num>
  <w:num w:numId="4" w16cid:durableId="1496411428">
    <w:abstractNumId w:val="4"/>
  </w:num>
  <w:num w:numId="5" w16cid:durableId="226459268">
    <w:abstractNumId w:val="7"/>
  </w:num>
  <w:num w:numId="6" w16cid:durableId="1869024511">
    <w:abstractNumId w:val="3"/>
  </w:num>
  <w:num w:numId="7" w16cid:durableId="1835605356">
    <w:abstractNumId w:val="2"/>
  </w:num>
  <w:num w:numId="8" w16cid:durableId="674843718">
    <w:abstractNumId w:val="1"/>
  </w:num>
  <w:num w:numId="9" w16cid:durableId="17846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0AC"/>
    <w:rsid w:val="007A1943"/>
    <w:rsid w:val="00AA1D8D"/>
    <w:rsid w:val="00B47730"/>
    <w:rsid w:val="00CB0664"/>
    <w:rsid w:val="00FC693F"/>
    <w:rsid w:val="00FD2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BE3EC"/>
  <w14:defaultImageDpi w14:val="300"/>
  <w15:docId w15:val="{C219A2FF-5574-6244-BB53-88EEF320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2546</Words>
  <Characters>14515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2026-06-01T03:40:00Z</dcterms:modified>
  <cp:category/>
</cp:coreProperties>
</file>