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51BE" w14:textId="77777777" w:rsidR="00E27B19" w:rsidRPr="007307C6" w:rsidRDefault="00E27B19" w:rsidP="00E27B19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1106C76F" w14:textId="77777777" w:rsidR="00E27B19" w:rsidRPr="007307C6" w:rsidRDefault="00E27B19" w:rsidP="00E27B19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FF73E94" w14:textId="7005D6CF" w:rsidR="00E27B19" w:rsidRPr="005D62FD" w:rsidRDefault="00E27B19" w:rsidP="00E27B19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678396D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DB18339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7691777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4C6D989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07AA1C81" w14:textId="77777777" w:rsidR="00E27B19" w:rsidRDefault="00E27B19" w:rsidP="00CA10D5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35FAC159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666360E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E3E1F0C" w14:textId="77777777" w:rsidR="00E27B19" w:rsidRDefault="00E27B19" w:rsidP="00E27B1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872215A" w14:textId="23731FA8" w:rsidR="00E27B19" w:rsidRPr="007307C6" w:rsidRDefault="00E27B19" w:rsidP="00E27B1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3D764765" w14:textId="3EACCC96" w:rsidR="00E27B19" w:rsidRPr="007307C6" w:rsidRDefault="00E27B19" w:rsidP="00E27B19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7D9DD564" w14:textId="7E50F65B" w:rsidR="00E27B19" w:rsidRPr="007307C6" w:rsidRDefault="00E27B19" w:rsidP="00E27B19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2B104628" w14:textId="75446175" w:rsidR="00E27B19" w:rsidRDefault="00E27B19" w:rsidP="00E27B1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6C08AF">
        <w:rPr>
          <w:rFonts w:eastAsia="Times New Roman"/>
          <w:lang w:val="ru-RU" w:eastAsia="ru-RU"/>
        </w:rPr>
        <w:t>4</w:t>
      </w:r>
    </w:p>
    <w:p w14:paraId="2028DE9E" w14:textId="2DAC52BC" w:rsidR="00F0708D" w:rsidRDefault="00F0708D">
      <w:pPr>
        <w:rPr>
          <w:lang w:val="ru-RU"/>
        </w:rPr>
      </w:pPr>
    </w:p>
    <w:p w14:paraId="3FEECB93" w14:textId="6B0CAD66" w:rsidR="00806F37" w:rsidRPr="00806F37" w:rsidRDefault="00806F37" w:rsidP="00806F37">
      <w:pPr>
        <w:autoSpaceDE w:val="0"/>
        <w:autoSpaceDN w:val="0"/>
        <w:adjustRightInd w:val="0"/>
        <w:spacing w:after="360"/>
        <w:rPr>
          <w:b/>
          <w:bCs/>
          <w:lang w:val="ru-RU"/>
        </w:rPr>
      </w:pPr>
      <w:r w:rsidRPr="00806F37">
        <w:rPr>
          <w:b/>
          <w:bCs/>
          <w:lang w:val="ru-RU"/>
        </w:rPr>
        <w:lastRenderedPageBreak/>
        <w:t>Теоретическая часть</w:t>
      </w:r>
    </w:p>
    <w:p w14:paraId="1FBC00B2" w14:textId="6B914AC8" w:rsidR="00072C68" w:rsidRPr="009400EF" w:rsidRDefault="00072C68" w:rsidP="001C4493">
      <w:pPr>
        <w:autoSpaceDE w:val="0"/>
        <w:autoSpaceDN w:val="0"/>
        <w:adjustRightInd w:val="0"/>
        <w:spacing w:after="0"/>
      </w:pPr>
      <w:r w:rsidRPr="009400EF">
        <w:t>Алфавит, А – это общее число знаков или символов (N), используемых для генерации или передачи сообщений. Символы</w:t>
      </w:r>
      <w:r w:rsidRPr="009400EF">
        <w:rPr>
          <w:lang w:val="ru-RU"/>
        </w:rPr>
        <w:t xml:space="preserve"> </w:t>
      </w:r>
      <w:r w:rsidRPr="009400EF">
        <w:t>алфавита будем обозначать через {аi}, где 1 ≤ i ≤ N; N – мощность</w:t>
      </w:r>
      <w:r w:rsidRPr="009400EF">
        <w:rPr>
          <w:lang w:val="ru-RU"/>
        </w:rPr>
        <w:t xml:space="preserve"> </w:t>
      </w:r>
      <w:r w:rsidRPr="009400EF">
        <w:t>алфавита.</w:t>
      </w:r>
    </w:p>
    <w:p w14:paraId="2AC3F24D" w14:textId="1F5D251D" w:rsidR="008E3E72" w:rsidRDefault="008E3E72" w:rsidP="009400EF">
      <w:pPr>
        <w:autoSpaceDE w:val="0"/>
        <w:autoSpaceDN w:val="0"/>
        <w:adjustRightInd w:val="0"/>
        <w:spacing w:after="0"/>
      </w:pPr>
      <w:r w:rsidRPr="009400EF">
        <w:t>Передача информации (данных) осуществляется между двумя</w:t>
      </w:r>
      <w:r w:rsidR="009400EF" w:rsidRPr="009400EF">
        <w:rPr>
          <w:lang w:val="ru-RU"/>
        </w:rPr>
        <w:t xml:space="preserve"> </w:t>
      </w:r>
      <w:r w:rsidRPr="009400EF">
        <w:t>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53659E34" w14:textId="637A7875" w:rsidR="00806F37" w:rsidRPr="009400EF" w:rsidRDefault="00806F37" w:rsidP="00806F37">
      <w:pPr>
        <w:autoSpaceDE w:val="0"/>
        <w:autoSpaceDN w:val="0"/>
        <w:adjustRightInd w:val="0"/>
        <w:spacing w:after="0"/>
      </w:pPr>
      <w:r w:rsidRPr="00806F37">
        <w:t>Информационной характеристикой алфавита (источника сообщений на основе этого алфавита) является энтропия.</w:t>
      </w:r>
    </w:p>
    <w:p w14:paraId="46EEBC48" w14:textId="3BA0B7E8" w:rsidR="00F410B2" w:rsidRDefault="006C08AF">
      <w:pPr>
        <w:rPr>
          <w:lang w:val="ru-RU"/>
        </w:rPr>
      </w:pPr>
      <w:r>
        <w:rPr>
          <w:lang w:val="ru-RU"/>
        </w:rPr>
        <w:t xml:space="preserve">Расчет энтропии </w:t>
      </w:r>
      <w:r w:rsidR="007454F0">
        <w:rPr>
          <w:lang w:val="ru-RU"/>
        </w:rPr>
        <w:t>происходит по следующей формуле</w:t>
      </w:r>
      <w:r w:rsidR="007454F0" w:rsidRPr="007454F0">
        <w:rPr>
          <w:lang w:val="ru-RU"/>
        </w:rPr>
        <w:t>:</w:t>
      </w:r>
    </w:p>
    <w:p w14:paraId="431BC1C3" w14:textId="09CC001E" w:rsidR="00072C68" w:rsidRDefault="00072C68" w:rsidP="00072C68">
      <w:pPr>
        <w:spacing w:before="280" w:after="240"/>
        <w:ind w:firstLine="0"/>
        <w:jc w:val="center"/>
        <w:rPr>
          <w:lang w:val="ru-RU"/>
        </w:rPr>
      </w:pPr>
      <w:r w:rsidRPr="00072C68">
        <w:rPr>
          <w:noProof/>
          <w:lang w:val="ru-RU"/>
        </w:rPr>
        <w:drawing>
          <wp:inline distT="0" distB="0" distL="0" distR="0" wp14:anchorId="65C7414B" wp14:editId="69DB911A">
            <wp:extent cx="3162741" cy="676369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D26D5" w14:textId="4ED445BC" w:rsidR="00072C68" w:rsidRDefault="00C6134D" w:rsidP="00072C68">
      <w:pPr>
        <w:ind w:firstLine="0"/>
        <w:jc w:val="center"/>
        <w:rPr>
          <w:lang w:val="ru-RU"/>
        </w:rPr>
      </w:pPr>
      <w:r>
        <w:t>Рисунок 1 –</w:t>
      </w:r>
      <w:r>
        <w:rPr>
          <w:lang w:val="ru-RU"/>
        </w:rPr>
        <w:t xml:space="preserve"> ф</w:t>
      </w:r>
      <w:r w:rsidR="00072C68">
        <w:rPr>
          <w:lang w:val="ru-RU"/>
        </w:rPr>
        <w:t>ормула Шеннона</w:t>
      </w:r>
    </w:p>
    <w:p w14:paraId="012778C4" w14:textId="6CB8B735" w:rsidR="00315788" w:rsidRDefault="00315788" w:rsidP="00712DCF">
      <w:pPr>
        <w:spacing w:after="0"/>
        <w:rPr>
          <w:lang w:val="ru-RU"/>
        </w:rPr>
      </w:pPr>
      <w:r w:rsidRPr="00315788">
        <w:rPr>
          <w:lang w:val="ru-RU"/>
        </w:rPr>
        <w:t>С физической точки зрения энтропия алфавита показывает,</w:t>
      </w:r>
      <w:r w:rsidR="00712DCF">
        <w:rPr>
          <w:lang w:val="ru-RU"/>
        </w:rPr>
        <w:t xml:space="preserve"> </w:t>
      </w:r>
      <w:r w:rsidRPr="00315788">
        <w:rPr>
          <w:lang w:val="ru-RU"/>
        </w:rPr>
        <w:t>какое количество информации приходится в среднем на</w:t>
      </w:r>
      <w:r w:rsidR="00712DCF">
        <w:rPr>
          <w:lang w:val="ru-RU"/>
        </w:rPr>
        <w:t xml:space="preserve"> </w:t>
      </w:r>
      <w:r w:rsidRPr="00315788">
        <w:rPr>
          <w:lang w:val="ru-RU"/>
        </w:rPr>
        <w:t>один символ алфавита.</w:t>
      </w:r>
    </w:p>
    <w:p w14:paraId="055964F8" w14:textId="7273A92A" w:rsidR="00FE218E" w:rsidRPr="00DF25E8" w:rsidRDefault="00FE218E" w:rsidP="00FE218E">
      <w:pPr>
        <w:spacing w:after="0"/>
        <w:rPr>
          <w:lang w:val="en-US"/>
        </w:rPr>
      </w:pPr>
      <w:r w:rsidRPr="00FE218E">
        <w:rPr>
          <w:lang w:val="ru-RU"/>
        </w:rPr>
        <w:t>ИсС в каждый дискретный момент времени выдает один</w:t>
      </w:r>
      <w:r>
        <w:rPr>
          <w:lang w:val="ru-RU"/>
        </w:rPr>
        <w:t xml:space="preserve"> </w:t>
      </w:r>
      <w:r w:rsidRPr="00FE218E">
        <w:rPr>
          <w:lang w:val="ru-RU"/>
        </w:rPr>
        <w:t>элемент алфавита. Этот элемент сообщения является одним из</w:t>
      </w:r>
      <w:r>
        <w:rPr>
          <w:lang w:val="ru-RU"/>
        </w:rPr>
        <w:t xml:space="preserve"> </w:t>
      </w:r>
      <w:r w:rsidRPr="00FE218E">
        <w:rPr>
          <w:lang w:val="ru-RU"/>
        </w:rPr>
        <w:t>символов алфавита. Понятно, что ПС заранее не известно, какой</w:t>
      </w:r>
      <w:r>
        <w:rPr>
          <w:lang w:val="ru-RU"/>
        </w:rPr>
        <w:t xml:space="preserve"> </w:t>
      </w:r>
      <w:r w:rsidRPr="00FE218E">
        <w:rPr>
          <w:lang w:val="ru-RU"/>
        </w:rPr>
        <w:t>это элемент. Если обозначить вероятность выбора каждого элемента алфавита p(аi)</w:t>
      </w:r>
      <w:r w:rsidR="00DF25E8">
        <w:rPr>
          <w:lang w:val="en-US"/>
        </w:rPr>
        <w:t>:</w:t>
      </w:r>
    </w:p>
    <w:p w14:paraId="7D31F221" w14:textId="5A2DA4FF" w:rsidR="00CB7F77" w:rsidRDefault="00DF25E8" w:rsidP="00DF25E8">
      <w:pPr>
        <w:spacing w:before="280" w:after="240"/>
        <w:ind w:firstLine="0"/>
        <w:jc w:val="center"/>
        <w:rPr>
          <w:lang w:val="ru-RU"/>
        </w:rPr>
      </w:pPr>
      <w:r w:rsidRPr="00DF25E8">
        <w:rPr>
          <w:noProof/>
          <w:lang w:val="ru-RU"/>
        </w:rPr>
        <w:drawing>
          <wp:inline distT="0" distB="0" distL="0" distR="0" wp14:anchorId="72444860" wp14:editId="3D2A5D29">
            <wp:extent cx="1495634" cy="704948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FA47A" w14:textId="0B2E8ADA" w:rsidR="00E2249C" w:rsidRDefault="00C6134D" w:rsidP="00DF25E8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2</w:t>
      </w:r>
      <w:r>
        <w:t xml:space="preserve"> –</w:t>
      </w:r>
      <w:r>
        <w:rPr>
          <w:lang w:val="ru-RU"/>
        </w:rPr>
        <w:t xml:space="preserve"> в</w:t>
      </w:r>
      <w:r w:rsidR="00DF25E8">
        <w:rPr>
          <w:lang w:val="ru-RU"/>
        </w:rPr>
        <w:t>ероятность выбора каждого элемента алфавита</w:t>
      </w:r>
    </w:p>
    <w:p w14:paraId="748419A4" w14:textId="79B265EC" w:rsidR="00F26C7C" w:rsidRPr="00F26C7C" w:rsidRDefault="00F26C7C" w:rsidP="008974E1">
      <w:pPr>
        <w:spacing w:before="280" w:after="0"/>
        <w:rPr>
          <w:lang w:val="ru-RU"/>
        </w:rPr>
      </w:pPr>
      <w:r w:rsidRPr="00F26C7C">
        <w:rPr>
          <w:lang w:val="ru-RU"/>
        </w:rPr>
        <w:t>Построение сигнала по определенным правилам, обеспечивающим соответствие между сообщением и сигналом, называют</w:t>
      </w:r>
      <w:r w:rsidR="008974E1" w:rsidRPr="008974E1">
        <w:rPr>
          <w:lang w:val="ru-RU"/>
        </w:rPr>
        <w:t xml:space="preserve"> </w:t>
      </w:r>
      <w:r w:rsidRPr="00F26C7C">
        <w:rPr>
          <w:lang w:val="ru-RU"/>
        </w:rPr>
        <w:t>кодированием.</w:t>
      </w:r>
    </w:p>
    <w:p w14:paraId="34AD53F5" w14:textId="33DB4E41" w:rsidR="00F26C7C" w:rsidRPr="00F26C7C" w:rsidRDefault="00F26C7C" w:rsidP="000F7051">
      <w:pPr>
        <w:spacing w:after="0"/>
        <w:rPr>
          <w:lang w:val="ru-RU"/>
        </w:rPr>
      </w:pPr>
      <w:r w:rsidRPr="00F26C7C">
        <w:rPr>
          <w:lang w:val="ru-RU"/>
        </w:rPr>
        <w:t>Кодирование в широком смысле – преобразование сообщения</w:t>
      </w:r>
      <w:r w:rsidR="000F7051" w:rsidRPr="000F7051">
        <w:rPr>
          <w:lang w:val="ru-RU"/>
        </w:rPr>
        <w:t xml:space="preserve"> </w:t>
      </w:r>
      <w:r w:rsidRPr="00F26C7C">
        <w:rPr>
          <w:lang w:val="ru-RU"/>
        </w:rPr>
        <w:t>в сигнал.</w:t>
      </w:r>
    </w:p>
    <w:p w14:paraId="6F019D4B" w14:textId="477AF157" w:rsidR="00CB414A" w:rsidRDefault="00F26C7C" w:rsidP="0092619F">
      <w:pPr>
        <w:spacing w:after="0"/>
        <w:rPr>
          <w:lang w:val="ru-RU"/>
        </w:rPr>
      </w:pPr>
      <w:r w:rsidRPr="00F26C7C">
        <w:rPr>
          <w:lang w:val="ru-RU"/>
        </w:rPr>
        <w:t>Кодирование в узком смысле – представление исходных знаков, называемых символами, в другом алфавите с меньшим числом знаков.</w:t>
      </w:r>
    </w:p>
    <w:p w14:paraId="312DDCC3" w14:textId="004958F5" w:rsidR="006F2193" w:rsidRDefault="00CB414A" w:rsidP="00CB414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31BB1F" w14:textId="5C8A551F" w:rsidR="00980F3E" w:rsidRPr="00980F3E" w:rsidRDefault="0096331E" w:rsidP="00980F3E">
      <w:pPr>
        <w:spacing w:before="280" w:after="240"/>
        <w:rPr>
          <w:b/>
          <w:bCs/>
          <w:lang w:val="ru-RU"/>
        </w:rPr>
      </w:pPr>
      <w:r w:rsidRPr="0096331E">
        <w:rPr>
          <w:b/>
          <w:bCs/>
          <w:lang w:val="ru-RU"/>
        </w:rPr>
        <w:lastRenderedPageBreak/>
        <w:t>Практическая часть</w:t>
      </w:r>
    </w:p>
    <w:p w14:paraId="0A8C67BC" w14:textId="6122F0A6" w:rsidR="00CB414A" w:rsidRPr="0015622F" w:rsidRDefault="00CB414A" w:rsidP="00F26C7C">
      <w:pPr>
        <w:spacing w:before="280" w:after="240"/>
        <w:rPr>
          <w:lang w:val="ru-RU"/>
        </w:rPr>
      </w:pPr>
      <w:r>
        <w:rPr>
          <w:lang w:val="ru-RU"/>
        </w:rPr>
        <w:t>Язык на кириллице</w:t>
      </w:r>
      <w:r w:rsidR="00B43C6A">
        <w:rPr>
          <w:lang w:val="ru-RU"/>
        </w:rPr>
        <w:t xml:space="preserve"> (французский)</w:t>
      </w:r>
      <w:r w:rsidRPr="0015622F">
        <w:rPr>
          <w:lang w:val="ru-RU"/>
        </w:rPr>
        <w:t>:</w:t>
      </w:r>
    </w:p>
    <w:p w14:paraId="65F11C40" w14:textId="36A4B537" w:rsidR="0096331E" w:rsidRDefault="00CB414A" w:rsidP="00AA4E7E">
      <w:pPr>
        <w:spacing w:before="280" w:after="240"/>
        <w:ind w:firstLine="0"/>
        <w:jc w:val="center"/>
        <w:rPr>
          <w:b/>
          <w:bCs/>
          <w:lang w:val="en-US"/>
        </w:rPr>
      </w:pPr>
      <w:r w:rsidRPr="00CB414A">
        <w:rPr>
          <w:b/>
          <w:bCs/>
          <w:noProof/>
          <w:lang w:val="en-US"/>
        </w:rPr>
        <w:drawing>
          <wp:inline distT="0" distB="0" distL="0" distR="0" wp14:anchorId="28FA7A2A" wp14:editId="5E5806F5">
            <wp:extent cx="5025687" cy="1193702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917" cy="12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C6AF" w14:textId="04DD54B4" w:rsidR="00CB414A" w:rsidRPr="0015622F" w:rsidRDefault="00D072E9" w:rsidP="00CB414A">
      <w:pPr>
        <w:spacing w:before="280" w:after="240"/>
        <w:ind w:firstLine="0"/>
        <w:jc w:val="center"/>
        <w:rPr>
          <w:lang w:val="ru-RU"/>
        </w:rPr>
      </w:pPr>
      <w:r>
        <w:t xml:space="preserve">Рисунок 1 – </w:t>
      </w:r>
      <w:r w:rsidR="003A12E1">
        <w:rPr>
          <w:lang w:val="ru-RU"/>
        </w:rPr>
        <w:t>т</w:t>
      </w:r>
      <w:r w:rsidR="00CB414A">
        <w:rPr>
          <w:lang w:val="ru-RU"/>
        </w:rPr>
        <w:t xml:space="preserve">екстовый документ </w:t>
      </w:r>
      <w:r w:rsidR="00CB414A">
        <w:rPr>
          <w:lang w:val="en-US"/>
        </w:rPr>
        <w:t>bulgarianLanguage</w:t>
      </w:r>
      <w:r w:rsidR="00CB414A" w:rsidRPr="0015622F">
        <w:rPr>
          <w:lang w:val="ru-RU"/>
        </w:rPr>
        <w:t>.</w:t>
      </w:r>
      <w:r w:rsidR="00CB414A">
        <w:rPr>
          <w:lang w:val="en-US"/>
        </w:rPr>
        <w:t>txt</w:t>
      </w:r>
    </w:p>
    <w:p w14:paraId="5296765B" w14:textId="101D5F60" w:rsidR="00CB414A" w:rsidRPr="0015622F" w:rsidRDefault="00CB414A" w:rsidP="00CB414A">
      <w:pPr>
        <w:spacing w:before="280" w:after="240"/>
        <w:rPr>
          <w:lang w:val="ru-RU"/>
        </w:rPr>
      </w:pPr>
      <w:r>
        <w:rPr>
          <w:lang w:val="ru-RU"/>
        </w:rPr>
        <w:t>Язык на латинице</w:t>
      </w:r>
      <w:r w:rsidR="00B43C6A">
        <w:rPr>
          <w:lang w:val="ru-RU"/>
        </w:rPr>
        <w:t xml:space="preserve"> (болгарский)</w:t>
      </w:r>
      <w:r w:rsidRPr="0015622F">
        <w:rPr>
          <w:lang w:val="ru-RU"/>
        </w:rPr>
        <w:t>:</w:t>
      </w:r>
    </w:p>
    <w:p w14:paraId="2B1FC470" w14:textId="19416229" w:rsidR="00CB414A" w:rsidRDefault="00CB414A" w:rsidP="00CB414A">
      <w:pPr>
        <w:spacing w:before="280" w:after="240"/>
        <w:ind w:firstLine="0"/>
        <w:jc w:val="center"/>
        <w:rPr>
          <w:lang w:val="en-US"/>
        </w:rPr>
      </w:pPr>
      <w:r w:rsidRPr="00CB414A">
        <w:rPr>
          <w:noProof/>
          <w:lang w:val="en-US"/>
        </w:rPr>
        <w:drawing>
          <wp:inline distT="0" distB="0" distL="0" distR="0" wp14:anchorId="35320DF0" wp14:editId="7845A833">
            <wp:extent cx="5016214" cy="12155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044" cy="12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3AD" w14:textId="7DD39BF9" w:rsidR="00CB414A" w:rsidRPr="00B43C6A" w:rsidRDefault="003A12E1" w:rsidP="00CB414A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 w:rsidR="00BA6142">
        <w:rPr>
          <w:lang w:val="ru-RU"/>
        </w:rPr>
        <w:t>2</w:t>
      </w:r>
      <w:r>
        <w:t xml:space="preserve"> – </w:t>
      </w:r>
      <w:r w:rsidR="00BA6142">
        <w:rPr>
          <w:lang w:val="ru-RU"/>
        </w:rPr>
        <w:t>т</w:t>
      </w:r>
      <w:r w:rsidR="00CB414A">
        <w:rPr>
          <w:lang w:val="ru-RU"/>
        </w:rPr>
        <w:t xml:space="preserve">екстовый документ </w:t>
      </w:r>
      <w:r w:rsidR="00CB414A">
        <w:rPr>
          <w:lang w:val="en-US"/>
        </w:rPr>
        <w:t>franceLanguage</w:t>
      </w:r>
      <w:r w:rsidR="00CB414A" w:rsidRPr="0015622F">
        <w:rPr>
          <w:lang w:val="ru-RU"/>
        </w:rPr>
        <w:t>.</w:t>
      </w:r>
      <w:r w:rsidR="00CB414A">
        <w:rPr>
          <w:lang w:val="en-US"/>
        </w:rPr>
        <w:t>txt</w:t>
      </w:r>
    </w:p>
    <w:p w14:paraId="2BDEC907" w14:textId="77777777" w:rsidR="00B43C6A" w:rsidRDefault="00B43C6A" w:rsidP="00B43C6A">
      <w:pPr>
        <w:spacing w:before="280" w:after="240"/>
        <w:jc w:val="left"/>
        <w:rPr>
          <w:lang w:val="ru-RU"/>
        </w:rPr>
      </w:pPr>
      <w:r>
        <w:rPr>
          <w:lang w:val="ru-RU"/>
        </w:rPr>
        <w:t>Нахождение энтропии по Шеннону</w:t>
      </w:r>
      <w:r w:rsidRPr="00B43C6A">
        <w:rPr>
          <w:lang w:val="ru-RU"/>
        </w:rPr>
        <w:t>:</w:t>
      </w:r>
    </w:p>
    <w:p w14:paraId="6C17C348" w14:textId="77777777" w:rsidR="00B43C6A" w:rsidRDefault="00B43C6A" w:rsidP="00B43C6A">
      <w:pPr>
        <w:spacing w:before="280" w:after="240"/>
        <w:ind w:firstLine="0"/>
        <w:jc w:val="center"/>
        <w:rPr>
          <w:lang w:val="ru-RU"/>
        </w:rPr>
      </w:pPr>
      <w:r w:rsidRPr="00B43C6A">
        <w:rPr>
          <w:noProof/>
          <w:lang w:val="ru-RU"/>
        </w:rPr>
        <w:drawing>
          <wp:inline distT="0" distB="0" distL="0" distR="0" wp14:anchorId="3387ED48" wp14:editId="0337C66E">
            <wp:extent cx="3383280" cy="166676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142" cy="16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869" w14:textId="4B2953B6" w:rsidR="00B43C6A" w:rsidRDefault="00BA6142" w:rsidP="00B43C6A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3</w:t>
      </w:r>
      <w:r>
        <w:t xml:space="preserve"> – </w:t>
      </w:r>
      <w:r>
        <w:rPr>
          <w:lang w:val="ru-RU"/>
        </w:rPr>
        <w:t>э</w:t>
      </w:r>
      <w:r w:rsidR="00B43C6A">
        <w:rPr>
          <w:lang w:val="ru-RU"/>
        </w:rPr>
        <w:t>нтропия по Шеннону</w:t>
      </w:r>
    </w:p>
    <w:p w14:paraId="3CA14032" w14:textId="158CCA80" w:rsidR="00B67AA6" w:rsidRDefault="00B67AA6" w:rsidP="00B67AA6">
      <w:pPr>
        <w:spacing w:before="280" w:after="240"/>
        <w:rPr>
          <w:lang w:val="ru-RU"/>
        </w:rPr>
      </w:pPr>
      <w:r>
        <w:rPr>
          <w:lang w:val="ru-RU"/>
        </w:rPr>
        <w:t>Нахождение эффективной энтропии</w:t>
      </w:r>
      <w:r w:rsidRPr="00B67AA6">
        <w:rPr>
          <w:lang w:val="ru-RU"/>
        </w:rPr>
        <w:t>:</w:t>
      </w:r>
    </w:p>
    <w:p w14:paraId="6FAC0B0D" w14:textId="720FC416" w:rsidR="00B67AA6" w:rsidRDefault="00B67AA6" w:rsidP="00D13C99">
      <w:pPr>
        <w:spacing w:before="280" w:after="240"/>
        <w:ind w:firstLine="0"/>
        <w:jc w:val="center"/>
        <w:rPr>
          <w:lang w:val="ru-RU"/>
        </w:rPr>
      </w:pPr>
      <w:r w:rsidRPr="00B67AA6">
        <w:rPr>
          <w:noProof/>
          <w:lang w:val="ru-RU"/>
        </w:rPr>
        <w:drawing>
          <wp:inline distT="0" distB="0" distL="0" distR="0" wp14:anchorId="1B81A317" wp14:editId="59394AB0">
            <wp:extent cx="3608071" cy="1185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296" cy="11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D16" w14:textId="51EFE518" w:rsidR="00B67AA6" w:rsidRDefault="00BD738E" w:rsidP="00D13C99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4</w:t>
      </w:r>
      <w:r>
        <w:t xml:space="preserve"> – </w:t>
      </w:r>
      <w:r w:rsidR="00E84C6E">
        <w:rPr>
          <w:lang w:val="ru-RU"/>
        </w:rPr>
        <w:t>э</w:t>
      </w:r>
      <w:r w:rsidR="00B67AA6">
        <w:rPr>
          <w:lang w:val="ru-RU"/>
        </w:rPr>
        <w:t>ффективная энтропия</w:t>
      </w:r>
    </w:p>
    <w:p w14:paraId="3954994C" w14:textId="42C32DFF" w:rsidR="00BB2AD4" w:rsidRDefault="00BB2AD4" w:rsidP="00BB2AD4">
      <w:pPr>
        <w:spacing w:before="280" w:after="240"/>
        <w:rPr>
          <w:lang w:val="ru-RU"/>
        </w:rPr>
      </w:pPr>
      <w:r>
        <w:rPr>
          <w:lang w:val="ru-RU"/>
        </w:rPr>
        <w:lastRenderedPageBreak/>
        <w:t>Функция нахождения количеств</w:t>
      </w:r>
      <w:r w:rsidR="00EC2BFE">
        <w:rPr>
          <w:lang w:val="ru-RU"/>
        </w:rPr>
        <w:t>а</w:t>
      </w:r>
      <w:r>
        <w:rPr>
          <w:lang w:val="ru-RU"/>
        </w:rPr>
        <w:t xml:space="preserve"> информации</w:t>
      </w:r>
      <w:r w:rsidRPr="00BB2AD4">
        <w:rPr>
          <w:lang w:val="ru-RU"/>
        </w:rPr>
        <w:t>:</w:t>
      </w:r>
    </w:p>
    <w:p w14:paraId="6B9517D3" w14:textId="49D757D0" w:rsidR="00BB2AD4" w:rsidRDefault="007C7C82" w:rsidP="00105A64">
      <w:pPr>
        <w:spacing w:before="280" w:after="240"/>
        <w:ind w:firstLine="0"/>
        <w:jc w:val="center"/>
        <w:rPr>
          <w:lang w:val="ru-RU"/>
        </w:rPr>
      </w:pPr>
      <w:r w:rsidRPr="007C7C82">
        <w:rPr>
          <w:noProof/>
          <w:lang w:val="ru-RU"/>
        </w:rPr>
        <w:drawing>
          <wp:inline distT="0" distB="0" distL="0" distR="0" wp14:anchorId="65509E3A" wp14:editId="2F823D19">
            <wp:extent cx="3884296" cy="93632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595" cy="9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F5D" w14:textId="2E734B1D" w:rsidR="00BB2AD4" w:rsidRPr="00BB2AD4" w:rsidRDefault="00BD738E" w:rsidP="00105A64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5</w:t>
      </w:r>
      <w:r>
        <w:t xml:space="preserve"> – </w:t>
      </w:r>
      <w:r w:rsidR="00E84C6E">
        <w:rPr>
          <w:lang w:val="ru-RU"/>
        </w:rPr>
        <w:t>в</w:t>
      </w:r>
      <w:r w:rsidR="00BB2AD4">
        <w:rPr>
          <w:lang w:val="ru-RU"/>
        </w:rPr>
        <w:t>ывод количества информации</w:t>
      </w:r>
    </w:p>
    <w:p w14:paraId="37C3C14E" w14:textId="1CF90A50" w:rsidR="0094309D" w:rsidRDefault="0094309D" w:rsidP="0094309D">
      <w:pPr>
        <w:spacing w:before="280" w:after="240"/>
        <w:rPr>
          <w:lang w:val="ru-RU"/>
        </w:rPr>
      </w:pPr>
      <w:r>
        <w:rPr>
          <w:lang w:val="ru-RU"/>
        </w:rPr>
        <w:t>Вывод подсчёта энтропии в консоль</w:t>
      </w:r>
      <w:r w:rsidRPr="00CF3E9D">
        <w:rPr>
          <w:lang w:val="ru-RU"/>
        </w:rPr>
        <w:t>:</w:t>
      </w:r>
    </w:p>
    <w:p w14:paraId="6BDB9736" w14:textId="6743FADE" w:rsidR="0094309D" w:rsidRDefault="0015622F" w:rsidP="00D13C99">
      <w:pPr>
        <w:spacing w:before="280" w:after="240"/>
        <w:ind w:firstLine="0"/>
        <w:jc w:val="center"/>
        <w:rPr>
          <w:lang w:val="ru-RU"/>
        </w:rPr>
      </w:pPr>
      <w:r w:rsidRPr="0015622F">
        <w:rPr>
          <w:noProof/>
          <w:lang w:val="ru-RU"/>
        </w:rPr>
        <w:drawing>
          <wp:inline distT="0" distB="0" distL="0" distR="0" wp14:anchorId="35FC0000" wp14:editId="0B751214">
            <wp:extent cx="1929130" cy="238041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116" cy="2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F690" w14:textId="0663E750" w:rsidR="0094309D" w:rsidRDefault="00DC2BB9" w:rsidP="00D13C99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6</w:t>
      </w:r>
      <w:r>
        <w:t xml:space="preserve"> – </w:t>
      </w:r>
      <w:r w:rsidR="00E84C6E">
        <w:rPr>
          <w:lang w:val="ru-RU"/>
        </w:rPr>
        <w:t>в</w:t>
      </w:r>
      <w:r w:rsidR="0094309D">
        <w:rPr>
          <w:lang w:val="ru-RU"/>
        </w:rPr>
        <w:t>ывод функции подсчёта энтропии</w:t>
      </w:r>
    </w:p>
    <w:p w14:paraId="1C6A5ECE" w14:textId="037FA6E6" w:rsidR="0094309D" w:rsidRPr="0094309D" w:rsidRDefault="0094309D" w:rsidP="00AA4E7E">
      <w:pPr>
        <w:spacing w:after="0"/>
        <w:rPr>
          <w:lang w:val="ru-RU"/>
        </w:rPr>
      </w:pPr>
      <w:r>
        <w:rPr>
          <w:lang w:val="ru-RU"/>
        </w:rPr>
        <w:t>Энтропия французского и болгарского алфавитов равны соответственно 4,282 бит и 4</w:t>
      </w:r>
      <w:r w:rsidRPr="005A1B10">
        <w:rPr>
          <w:lang w:val="ru-RU"/>
        </w:rPr>
        <w:t>,360</w:t>
      </w:r>
      <w:r>
        <w:rPr>
          <w:lang w:val="ru-RU"/>
        </w:rPr>
        <w:t xml:space="preserve"> бит. Энтропия бинарного алфавита, которая всегда примерно равна 1 биту, в данном случае равняется 0,985 бит.</w:t>
      </w:r>
    </w:p>
    <w:p w14:paraId="63BDCAB5" w14:textId="3328327A" w:rsidR="00CB414A" w:rsidRDefault="00CB414A" w:rsidP="00AA4E7E">
      <w:pPr>
        <w:spacing w:after="280"/>
        <w:rPr>
          <w:lang w:val="ru-RU"/>
        </w:rPr>
      </w:pPr>
      <w:r>
        <w:rPr>
          <w:lang w:val="ru-RU"/>
        </w:rPr>
        <w:t>Графики, отражающие частоты появления символов</w:t>
      </w:r>
      <w:r w:rsidRPr="00CB414A">
        <w:rPr>
          <w:lang w:val="ru-RU"/>
        </w:rPr>
        <w:t xml:space="preserve"> </w:t>
      </w:r>
      <w:r>
        <w:rPr>
          <w:lang w:val="ru-RU"/>
        </w:rPr>
        <w:t>в тексте</w:t>
      </w:r>
      <w:r w:rsidRPr="00CB414A">
        <w:rPr>
          <w:lang w:val="ru-RU"/>
        </w:rPr>
        <w:t>:</w:t>
      </w:r>
    </w:p>
    <w:p w14:paraId="28253B14" w14:textId="0EAFE1B9" w:rsidR="00CB414A" w:rsidRDefault="00CB414A" w:rsidP="00CB414A">
      <w:pPr>
        <w:spacing w:before="280" w:after="240"/>
        <w:ind w:firstLine="0"/>
        <w:jc w:val="center"/>
        <w:rPr>
          <w:lang w:val="ru-RU"/>
        </w:rPr>
      </w:pPr>
      <w:r w:rsidRPr="00CB414A">
        <w:rPr>
          <w:noProof/>
          <w:lang w:val="ru-RU"/>
        </w:rPr>
        <w:drawing>
          <wp:inline distT="0" distB="0" distL="0" distR="0" wp14:anchorId="661BBBDC" wp14:editId="41F04D14">
            <wp:extent cx="3387022" cy="240621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825" cy="24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48D" w14:textId="6B99F4D5" w:rsidR="00CB414A" w:rsidRDefault="00EF4465" w:rsidP="00CB414A">
      <w:pPr>
        <w:spacing w:before="280" w:after="240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7</w:t>
      </w:r>
      <w:r>
        <w:t xml:space="preserve"> – </w:t>
      </w:r>
      <w:r w:rsidR="0013753D">
        <w:rPr>
          <w:lang w:val="ru-RU"/>
        </w:rPr>
        <w:t>ч</w:t>
      </w:r>
      <w:bookmarkStart w:id="0" w:name="_GoBack"/>
      <w:bookmarkEnd w:id="0"/>
      <w:r w:rsidR="00CB414A">
        <w:rPr>
          <w:lang w:val="ru-RU"/>
        </w:rPr>
        <w:t>астота появления символов в алфавитах</w:t>
      </w:r>
    </w:p>
    <w:p w14:paraId="37FB2525" w14:textId="7AD2FCD3" w:rsidR="00233F81" w:rsidRPr="00233F81" w:rsidRDefault="00233F81" w:rsidP="00233F81">
      <w:pPr>
        <w:spacing w:before="280" w:after="240"/>
        <w:rPr>
          <w:lang w:val="ru-RU"/>
        </w:rPr>
      </w:pPr>
      <w:r w:rsidRPr="00233F81">
        <w:rPr>
          <w:b/>
          <w:bCs/>
          <w:lang w:val="ru-RU"/>
        </w:rPr>
        <w:lastRenderedPageBreak/>
        <w:t>Вывод:</w:t>
      </w:r>
      <w:r w:rsidRPr="00233F81">
        <w:rPr>
          <w:lang w:val="ru-RU"/>
        </w:rPr>
        <w:t xml:space="preserve"> </w:t>
      </w:r>
      <w:r>
        <w:rPr>
          <w:lang w:val="ru-RU"/>
        </w:rPr>
        <w:t xml:space="preserve">Выполнение данной лабораторной работы </w:t>
      </w:r>
      <w:r w:rsidRPr="00233F81">
        <w:rPr>
          <w:lang w:val="ru-RU"/>
        </w:rPr>
        <w:t>позволило углубить понимание основ теории информации и ее применения в анализе параметров дискретных информационных систем. Расчет энтропии и количества информации в сообщении является важным инструментом при оценке эффективности передачи и хранения информации. Полученные результаты позволяют оценить степень информативности сообщения и его устойчивость к возможным искажениям при передаче.</w:t>
      </w:r>
    </w:p>
    <w:sectPr w:rsidR="00233F81" w:rsidRPr="0023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8D"/>
    <w:rsid w:val="00072C68"/>
    <w:rsid w:val="000F7051"/>
    <w:rsid w:val="00105A64"/>
    <w:rsid w:val="0013753D"/>
    <w:rsid w:val="0015622F"/>
    <w:rsid w:val="001C4493"/>
    <w:rsid w:val="00233F81"/>
    <w:rsid w:val="00315788"/>
    <w:rsid w:val="003A12E1"/>
    <w:rsid w:val="003B0D77"/>
    <w:rsid w:val="005A1B10"/>
    <w:rsid w:val="005D62FD"/>
    <w:rsid w:val="006C08AF"/>
    <w:rsid w:val="006F2193"/>
    <w:rsid w:val="00712DCF"/>
    <w:rsid w:val="007454F0"/>
    <w:rsid w:val="007C7C82"/>
    <w:rsid w:val="00806F37"/>
    <w:rsid w:val="00894630"/>
    <w:rsid w:val="008974E1"/>
    <w:rsid w:val="008E3E72"/>
    <w:rsid w:val="0092619F"/>
    <w:rsid w:val="009400EF"/>
    <w:rsid w:val="0094309D"/>
    <w:rsid w:val="0096331E"/>
    <w:rsid w:val="00980F3E"/>
    <w:rsid w:val="009874DA"/>
    <w:rsid w:val="00A12C74"/>
    <w:rsid w:val="00AA4E7E"/>
    <w:rsid w:val="00B43C6A"/>
    <w:rsid w:val="00B67AA6"/>
    <w:rsid w:val="00BA6142"/>
    <w:rsid w:val="00BB2AD4"/>
    <w:rsid w:val="00BD738E"/>
    <w:rsid w:val="00C6134D"/>
    <w:rsid w:val="00C6178B"/>
    <w:rsid w:val="00CA10D5"/>
    <w:rsid w:val="00CB414A"/>
    <w:rsid w:val="00CB7F77"/>
    <w:rsid w:val="00CF3E9D"/>
    <w:rsid w:val="00D072E9"/>
    <w:rsid w:val="00D13C99"/>
    <w:rsid w:val="00DC2BB9"/>
    <w:rsid w:val="00DF25E8"/>
    <w:rsid w:val="00E2249C"/>
    <w:rsid w:val="00E27B19"/>
    <w:rsid w:val="00E526E6"/>
    <w:rsid w:val="00E84C6E"/>
    <w:rsid w:val="00EC2BFE"/>
    <w:rsid w:val="00EF4465"/>
    <w:rsid w:val="00F0708D"/>
    <w:rsid w:val="00F26C7C"/>
    <w:rsid w:val="00F410B2"/>
    <w:rsid w:val="00F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BE11"/>
  <w15:chartTrackingRefBased/>
  <w15:docId w15:val="{3BC8529B-721E-4423-A4F8-13AEC882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E27B19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80</cp:revision>
  <dcterms:created xsi:type="dcterms:W3CDTF">2024-02-17T09:09:00Z</dcterms:created>
  <dcterms:modified xsi:type="dcterms:W3CDTF">2024-02-29T10:33:00Z</dcterms:modified>
</cp:coreProperties>
</file>