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5ab452fc41a4586cbb6267569f3059604a7e4a"/>
      <w:r>
        <w:t xml:space="preserve">GARUDA Block Design Specification — Template</w:t>
      </w:r>
      <w:bookmarkEnd w:id="20"/>
    </w:p>
    <w:p>
      <w:pPr>
        <w:pStyle w:val="FirstParagraph"/>
      </w:pPr>
      <w:r>
        <w:rPr>
          <w:b/>
        </w:rPr>
        <w:t xml:space="preserve">GARUDA-DOC-001 Rev 1.0.</w:t>
      </w:r>
      <w:r>
        <w:t xml:space="preserve"> </w:t>
      </w:r>
      <w:r>
        <w:t xml:space="preserve">Every block spec in this project has exactly these sections,</w:t>
      </w:r>
      <w:r>
        <w:t xml:space="preserve"> </w:t>
      </w:r>
      <w:r>
        <w:t xml:space="preserve">in this order, with these numbers. A reviewer, a new engineer and a script all know where</w:t>
      </w:r>
      <w:r>
        <w:t xml:space="preserve"> </w:t>
      </w:r>
      <w:r>
        <w:t xml:space="preserve">to look, and a missing section is visible as a gap rather than hidden in prose.</w:t>
      </w:r>
    </w:p>
    <w:p>
      <w:pPr>
        <w:pStyle w:val="BlockText"/>
      </w:pPr>
      <w:r>
        <w:rPr>
          <w:b/>
        </w:rPr>
        <w:t xml:space="preserve">Status of the tooling this template names (2026-10-14).</w:t>
      </w:r>
      <w:r>
        <w:t xml:space="preserve"> </w:t>
      </w:r>
      <w:r>
        <w:rPr>
          <w:rStyle w:val="VerbatimChar"/>
        </w:rPr>
        <w:t xml:space="preserve">gen/tables.md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tools/check_specs.py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spec/regs/&lt;block&gt;.yaml</w:t>
      </w:r>
      <w:r>
        <w:t xml:space="preserve"> </w:t>
      </w:r>
      <w:r>
        <w:t xml:space="preserve">were planned and do not exist.</w:t>
      </w:r>
      <w:r>
        <w:t xml:space="preserve"> </w:t>
      </w:r>
      <w:r>
        <w:t xml:space="preserve">What exists:</w:t>
      </w:r>
      <w:r>
        <w:t xml:space="preserve"> </w:t>
      </w:r>
      <w:r>
        <w:rPr>
          <w:rStyle w:val="VerbatimChar"/>
        </w:rPr>
        <w:t xml:space="preserve">Design_Docs/garuda_system.yaml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tools/garuda_gen.py</w:t>
      </w:r>
      <w:r>
        <w:t xml:space="preserve"> </w:t>
      </w:r>
      <w:r>
        <w:t xml:space="preserve">(address map,</w:t>
      </w:r>
      <w:r>
        <w:t xml:space="preserve"> </w:t>
      </w:r>
      <w:r>
        <w:t xml:space="preserve">windows, CLIC IDs and DMA channels into</w:t>
      </w:r>
      <w:r>
        <w:t xml:space="preserve"> </w:t>
      </w:r>
      <w:r>
        <w:rPr>
          <w:rStyle w:val="VerbatimChar"/>
        </w:rPr>
        <w:t xml:space="preserve">rtl/include/garuda_map.vh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sw/common/garuda_map.h</w:t>
      </w:r>
      <w:r>
        <w:t xml:space="preserve">;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fails on drift); SystemRDL register descriptions in</w:t>
      </w:r>
      <w:r>
        <w:t xml:space="preserve"> </w:t>
      </w:r>
      <w:r>
        <w:rPr>
          <w:rStyle w:val="VerbatimChar"/>
        </w:rPr>
        <w:t xml:space="preserve">Design_Docs/regs/</w:t>
      </w:r>
      <w:r>
        <w:t xml:space="preserve"> </w:t>
      </w:r>
      <w:r>
        <w:t xml:space="preserve">for the CLIC, clock/reset, GPIO, PWM and timers, written from each</w:t>
      </w:r>
      <w:r>
        <w:t xml:space="preserve"> </w:t>
      </w:r>
      <w:r>
        <w:t xml:space="preserve">spec's §6 and used to generate the UVM register models (</w:t>
      </w:r>
      <w:r>
        <w:rPr>
          <w:rStyle w:val="VerbatimChar"/>
        </w:rPr>
        <w:t xml:space="preserve">tools/gen/gen_ral.py</w:t>
      </w:r>
      <w:r>
        <w:t xml:space="preserve">); and</w:t>
      </w:r>
      <w:r>
        <w:t xml:space="preserve"> </w:t>
      </w:r>
      <w:r>
        <w:rPr>
          <w:rStyle w:val="VerbatimChar"/>
        </w:rPr>
        <w:t xml:space="preserve">tools/check_docs.py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check_docs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exports. Rules 1 and the register</w:t>
      </w:r>
      <w:r>
        <w:t xml:space="preserve"> </w:t>
      </w:r>
      <w:r>
        <w:t xml:space="preserve">generation in "Machine-readable sources" below are therefore targets, not checks.</w:t>
      </w:r>
    </w:p>
    <w:p>
      <w:pPr>
        <w:pStyle w:val="Heading2"/>
      </w:pPr>
      <w:bookmarkStart w:id="21" w:name="rules-that-apply-to-every-spec"/>
      <w:r>
        <w:t xml:space="preserve">Rules that apply to every spec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cross-block facts are written by hand.</w:t>
      </w:r>
      <w:r>
        <w:t xml:space="preserve"> </w:t>
      </w:r>
      <w:r>
        <w:t xml:space="preserve">Frequencies, addresses, block numbers,</w:t>
      </w:r>
      <w:r>
        <w:t xml:space="preserve"> </w:t>
      </w:r>
      <w:r>
        <w:t xml:space="preserve">CLIC IDs, DMA channels, pins and APB windows come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{{include: gen/tables.md#T-n}}</w:t>
      </w:r>
      <w:r>
        <w:t xml:space="preserve">. If a value appears literally in a spec's prose, that</w:t>
      </w:r>
      <w:r>
        <w:t xml:space="preserve"> </w:t>
      </w:r>
      <w:r>
        <w:t xml:space="preserve">is a defect, and</w:t>
      </w:r>
      <w:r>
        <w:t xml:space="preserve"> </w:t>
      </w:r>
      <w:r>
        <w:rPr>
          <w:rStyle w:val="VerbatimChar"/>
        </w:rPr>
        <w:t xml:space="preserve">tools/check_specs.py</w:t>
      </w:r>
      <w:r>
        <w:t xml:space="preserve"> </w:t>
      </w:r>
      <w:r>
        <w:t xml:space="preserve">fails on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edit history in the body.</w:t>
      </w:r>
      <w:r>
        <w:t xml:space="preserve"> </w:t>
      </w:r>
      <w:r>
        <w:t xml:space="preserve">No "(was 200 MHz)", no "corrected from". History lives</w:t>
      </w:r>
      <w:r>
        <w:t xml:space="preserve"> </w:t>
      </w:r>
      <w:r>
        <w:t xml:space="preserve">in §0.2 and in the ADR that made the change. The body states only what is true now.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normative statement is numbered and testable.</w:t>
      </w:r>
      <w:r>
        <w:t xml:space="preserve"> </w:t>
      </w:r>
      <w:r>
        <w:rPr>
          <w:rStyle w:val="VerbatimChar"/>
        </w:rPr>
        <w:t xml:space="preserve">[N-3.2]</w:t>
      </w:r>
      <w:r>
        <w:t xml:space="preserve"> </w:t>
      </w:r>
      <w:r>
        <w:t xml:space="preserve">style. Section 11's</w:t>
      </w:r>
      <w:r>
        <w:t xml:space="preserve"> </w:t>
      </w:r>
      <w:r>
        <w:t xml:space="preserve">verification matrix references those numbers, so an untested requirement is visible.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design choice points at an ADR.</w:t>
      </w:r>
      <w:r>
        <w:t xml:space="preserve"> </w:t>
      </w:r>
      <w:r>
        <w:t xml:space="preserve">If a choice has no ADR, either it is not a</w:t>
      </w:r>
      <w:r>
        <w:t xml:space="preserve"> </w:t>
      </w:r>
      <w:r>
        <w:t xml:space="preserve">choice (it follows from a requirement) or the ADR is missing.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Timing is drawn, not described.</w:t>
      </w:r>
      <w:r>
        <w:t xml:space="preserve"> </w:t>
      </w:r>
      <w:r>
        <w:t xml:space="preserve">Any multi-cycle protocol needs a waveform. Blocks</w:t>
      </w:r>
      <w:r>
        <w:t xml:space="preserve"> </w:t>
      </w:r>
      <w:r>
        <w:t xml:space="preserve">whose specs described handshakes in prose instead of waveforms are where I-1 and D-1</w:t>
      </w:r>
      <w:r>
        <w:t xml:space="preserve"> </w:t>
      </w:r>
      <w:r>
        <w:t xml:space="preserve">came from.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Assertions are in the spec, in SVA.</w:t>
      </w:r>
      <w:r>
        <w:t xml:space="preserve"> </w:t>
      </w:r>
      <w:r>
        <w:t xml:space="preserve">§10 holds the assertions that the testbench</w:t>
      </w:r>
      <w:r>
        <w:t xml:space="preserve"> </w:t>
      </w:r>
      <w:r>
        <w:t xml:space="preserve">binds. The spec is the source; the testbench imports it.</w:t>
      </w:r>
    </w:p>
    <w:p>
      <w:pPr>
        <w:pStyle w:val="Heading2"/>
      </w:pPr>
      <w:bookmarkStart w:id="22" w:name="section-structure"/>
      <w:r>
        <w:t xml:space="preserve">Section structure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Doc ID, revision, date, status, owner, block number (generated)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Revision history</w:t>
            </w:r>
          </w:p>
        </w:tc>
        <w:tc>
          <w:p>
            <w:pPr>
              <w:pStyle w:val="Compact"/>
              <w:jc w:val="left"/>
            </w:pPr>
            <w:r>
              <w:t xml:space="preserve">One row per revision: what changed and which ADR drove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Normative references</w:t>
            </w:r>
          </w:p>
        </w:tc>
        <w:tc>
          <w:p>
            <w:pPr>
              <w:pStyle w:val="Compact"/>
              <w:jc w:val="left"/>
            </w:pPr>
            <w:r>
              <w:t xml:space="preserve">With revisions.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 </w:t>
            </w:r>
            <w:r>
              <w:t xml:space="preserve">is always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Purpose and scope</w:t>
            </w:r>
          </w:p>
        </w:tc>
        <w:tc>
          <w:p>
            <w:pPr>
              <w:pStyle w:val="Compact"/>
              <w:jc w:val="left"/>
            </w:pPr>
            <w:r>
              <w:t xml:space="preserve">What the block does, what it explicitly does 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[R-n]</w:t>
            </w:r>
            <w:r>
              <w:t xml:space="preserve"> </w:t>
            </w:r>
            <w:r>
              <w:t xml:space="preserve">numbered. Where each comes from (system need, protocol, ADR)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Block diagram</w:t>
            </w:r>
          </w:p>
        </w:tc>
        <w:tc>
          <w:p>
            <w:pPr>
              <w:pStyle w:val="Compact"/>
              <w:jc w:val="left"/>
            </w:pPr>
            <w:r>
              <w:t xml:space="preserve">Boundary, sub-blocks, every port on the boundary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Sub-block inventory</w:t>
            </w:r>
          </w:p>
        </w:tc>
        <w:tc>
          <w:p>
            <w:pPr>
              <w:pStyle w:val="Compact"/>
              <w:jc w:val="left"/>
            </w:pPr>
            <w:r>
              <w:t xml:space="preserve">Table: name, seq/comb, RTL file, one-line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Interfaces</w:t>
            </w:r>
          </w:p>
        </w:tc>
        <w:tc>
          <w:p>
            <w:pPr>
              <w:pStyle w:val="Compact"/>
              <w:jc w:val="left"/>
            </w:pPr>
            <w:r>
              <w:t xml:space="preserve">Every port: name, direction, width, domain, reset value,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Register map</w:t>
            </w:r>
          </w:p>
        </w:tc>
        <w:tc>
          <w:p>
            <w:pPr>
              <w:pStyle w:val="Compact"/>
              <w:jc w:val="left"/>
            </w:pPr>
            <w:r>
              <w:t xml:space="preserve">Offset, name, width, access, reset value, field-by-field. Machine-readable source in</w:t>
            </w:r>
            <w:r>
              <w:t xml:space="preserve"> </w:t>
            </w:r>
            <w:r>
              <w:rPr>
                <w:rStyle w:val="VerbatimChar"/>
              </w:rPr>
              <w:t xml:space="preserve">spec/regs/&lt;block&gt;.yaml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Functional description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[N-n]</w:t>
            </w:r>
            <w:r>
              <w:t xml:space="preserve"> </w:t>
            </w:r>
            <w:r>
              <w:t xml:space="preserve">normative statements. State machines as explicit state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p>
            <w:pPr>
              <w:pStyle w:val="Compact"/>
              <w:jc w:val="left"/>
            </w:pPr>
            <w:r>
              <w:t xml:space="preserve">Waveforms for every protocol phase, wait state, back-to-back and error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Clock, reset and power</w:t>
            </w:r>
          </w:p>
        </w:tc>
        <w:tc>
          <w:p>
            <w:pPr>
              <w:pStyle w:val="Compact"/>
              <w:jc w:val="left"/>
            </w:pPr>
            <w:r>
              <w:t xml:space="preserve">Domains, CDC (or a statement that there is none and why), reset domain, reset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p>
            <w:pPr>
              <w:pStyle w:val="Compact"/>
              <w:jc w:val="left"/>
            </w:pPr>
            <w:r>
              <w:t xml:space="preserve">SVA the testbench binds. Each maps to a</w:t>
            </w:r>
            <w:r>
              <w:t xml:space="preserve"> </w:t>
            </w:r>
            <w:r>
              <w:rPr>
                <w:rStyle w:val="VerbatimChar"/>
              </w:rPr>
              <w:t xml:space="preserve">[N-n]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Verification plan</w:t>
            </w:r>
          </w:p>
        </w:tc>
        <w:tc>
          <w:p>
            <w:pPr>
              <w:pStyle w:val="Compact"/>
              <w:jc w:val="left"/>
            </w:pPr>
            <w:r>
              <w:t xml:space="preserve">Matrix: requirement → test name → oracle → coverage goal →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decisions</w:t>
            </w:r>
          </w:p>
        </w:tc>
        <w:tc>
          <w:p>
            <w:pPr>
              <w:pStyle w:val="Compact"/>
              <w:jc w:val="left"/>
            </w:pPr>
            <w:r>
              <w:t xml:space="preserve">Table of ADR references. No rationale restated, only the pointer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What was considered and excluded, with why. Prevents re-litigation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Open 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OPEN-n</w:t>
            </w:r>
            <w:r>
              <w:t xml:space="preserve"> </w:t>
            </w:r>
            <w:r>
              <w:t xml:space="preserve">with owner and what unblocks it. Empty is a valid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Errata</w:t>
            </w:r>
          </w:p>
        </w:tc>
        <w:tc>
          <w:p>
            <w:pPr>
              <w:pStyle w:val="Compact"/>
              <w:jc w:val="left"/>
            </w:pPr>
            <w:r>
              <w:t xml:space="preserve">Fixed bugs: symptom, root cause, fix, test that catches a regression</w:t>
            </w:r>
          </w:p>
        </w:tc>
      </w:tr>
    </w:tbl>
    <w:p>
      <w:pPr>
        <w:pStyle w:val="Heading2"/>
      </w:pPr>
      <w:bookmarkStart w:id="23" w:name="machine-readability"/>
      <w:r>
        <w:t xml:space="preserve">Machine readability</w:t>
      </w:r>
      <w:bookmarkEnd w:id="23"/>
    </w:p>
    <w:p>
      <w:pPr>
        <w:pStyle w:val="FirstParagraph"/>
      </w:pPr>
      <w:r>
        <w:t xml:space="preserve">Each spec ships three machine-readable companions, and the prose is generated from or</w:t>
      </w:r>
      <w:r>
        <w:t xml:space="preserve"> </w:t>
      </w:r>
      <w:r>
        <w:t xml:space="preserve">checked against them: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spec/regs/&lt;block&gt;.yaml</w:t>
      </w:r>
      <w:r>
        <w:t xml:space="preserve"> </w:t>
      </w:r>
      <w:r>
        <w:t xml:space="preserve">— the register map. Generates the §6 table, the RTL register</w:t>
      </w:r>
      <w:r>
        <w:t xml:space="preserve"> </w:t>
      </w:r>
      <w:r>
        <w:t xml:space="preserve">bank's field decode,</w:t>
      </w:r>
      <w:r>
        <w:t xml:space="preserve"> </w:t>
      </w:r>
      <w:r>
        <w:rPr>
          <w:rStyle w:val="VerbatimChar"/>
        </w:rPr>
        <w:t xml:space="preserve">sw/common/&lt;block&gt;_regs.h</w:t>
      </w:r>
      <w:r>
        <w:t xml:space="preserve">, and a UVM-style register model for the</w:t>
      </w:r>
      <w:r>
        <w:t xml:space="preserve"> </w:t>
      </w:r>
      <w:r>
        <w:t xml:space="preserve">testbench. A register that exists in RTL but not here fails CI.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spec/ports/&lt;block&gt;.yaml</w:t>
      </w:r>
      <w:r>
        <w:t xml:space="preserve"> </w:t>
      </w:r>
      <w:r>
        <w:t xml:space="preserve">— the port list. Generates the §5 table and an instantiation</w:t>
      </w:r>
      <w:r>
        <w:t xml:space="preserve"> </w:t>
      </w:r>
      <w:r>
        <w:t xml:space="preserve">template, and is checked against the RTL module header, which is how the</w:t>
      </w:r>
      <w:r>
        <w:t xml:space="preserve"> </w:t>
      </w:r>
      <w:r>
        <w:rPr>
          <w:rStyle w:val="VerbatimChar"/>
        </w:rPr>
        <w:t xml:space="preserve">dma_top</w:t>
      </w:r>
      <w:r>
        <w:t xml:space="preserve"> </w:t>
      </w:r>
      <w:r>
        <w:t xml:space="preserve">naming mismatch and the</w:t>
      </w:r>
      <w:r>
        <w:t xml:space="preserve"> </w:t>
      </w:r>
      <w:r>
        <w:rPr>
          <w:rStyle w:val="VerbatimChar"/>
        </w:rPr>
        <w:t xml:space="preserve">clic_mintthresh_o</w:t>
      </w:r>
      <w:r>
        <w:t xml:space="preserve"> </w:t>
      </w:r>
      <w:r>
        <w:t xml:space="preserve">ghost port would have been caught.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spec/verif/&lt;block&gt;.yaml</w:t>
      </w:r>
      <w:r>
        <w:t xml:space="preserve"> </w:t>
      </w:r>
      <w:r>
        <w:t xml:space="preserve">— the §11 matrix. Test names are checked to exist in the</w:t>
      </w:r>
      <w:r>
        <w:t xml:space="preserve"> </w:t>
      </w:r>
      <w:r>
        <w:t xml:space="preserve">Makefile, so a requirement cannot silently have no test.</w:t>
      </w:r>
    </w:p>
    <w:p>
      <w:pPr>
        <w:pStyle w:val="Heading2"/>
      </w:pPr>
      <w:bookmarkStart w:id="24" w:name="human-readability"/>
      <w:r>
        <w:t xml:space="preserve">Human readability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A reader who needs one fact reads one table. A reader who needs the design reads §1, §3,</w:t>
      </w:r>
      <w:r>
        <w:t xml:space="preserve"> </w:t>
      </w:r>
      <w:r>
        <w:t xml:space="preserve">§7 in order and nothing else.</w:t>
      </w:r>
    </w:p>
    <w:p>
      <w:pPr>
        <w:numPr>
          <w:ilvl w:val="0"/>
          <w:numId w:val="1003"/>
        </w:numPr>
        <w:pStyle w:val="Compact"/>
      </w:pPr>
      <w:r>
        <w:t xml:space="preserve">Rationale is in §12 by pointer, never inline. The old specs buried decisions in</w:t>
      </w:r>
      <w:r>
        <w:t xml:space="preserve"> </w:t>
      </w:r>
      <w:r>
        <w:t xml:space="preserve">paragraphs of narrative, which is why the same decision got made three different ways in</w:t>
      </w:r>
      <w:r>
        <w:t xml:space="preserve"> </w:t>
      </w:r>
      <w:r>
        <w:t xml:space="preserve">three documents.</w:t>
      </w:r>
    </w:p>
    <w:p>
      <w:pPr>
        <w:numPr>
          <w:ilvl w:val="0"/>
          <w:numId w:val="1003"/>
        </w:numPr>
        <w:pStyle w:val="Compact"/>
      </w:pPr>
      <w:r>
        <w:t xml:space="preserve">No section exceeds two screens without a table or a waveform breaking it up.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2026-10-14T09:14:03Z</dcterms:created>
  <dcterms:modified xsi:type="dcterms:W3CDTF">2026-10-14T09:14:03Z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