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371cbf36f2ef144c5441891603c038f67a33f30"/>
    <w:p>
      <w:pPr>
        <w:pStyle w:val="Heading1"/>
      </w:pPr>
      <w:r>
        <w:t xml:space="preserve">GARUDA Pin-out and Physical Constraints — Specification</w:t>
      </w:r>
    </w:p>
    <w:bookmarkStart w:id="20" w:name="identity"/>
    <w:p>
      <w:pPr>
        <w:pStyle w:val="Heading2"/>
      </w:pPr>
      <w:r>
        <w:t xml:space="preserve">0.1 Identity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GARUDA-PHYS-SPEC-001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Released for the GDSII handoff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AeroSoC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 (1-TOPS mentor), board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— this document did not previously exist</w:t>
            </w:r>
          </w:p>
        </w:tc>
      </w:tr>
    </w:tbl>
    <w:bookmarkEnd w:id="20"/>
    <w:bookmarkStart w:id="21" w:name="why-this-document-exists"/>
    <w:p>
      <w:pPr>
        <w:pStyle w:val="Heading2"/>
      </w:pPr>
      <w:r>
        <w:t xml:space="preserve">0.2 Why this document exists</w:t>
      </w:r>
    </w:p>
    <w:p>
      <w:pPr>
        <w:pStyle w:val="FirstParagraph"/>
      </w:pPr>
      <w:r>
        <w:t xml:space="preserve">No document in this project owned the physical constraints. The pin table lived in the TRM</w:t>
      </w:r>
      <w:r>
        <w:t xml:space="preserve"> </w:t>
      </w:r>
      <w:r>
        <w:t xml:space="preserve">with GPIO defined as</w:t>
      </w:r>
      <w:r>
        <w:t xml:space="preserve"> </w:t>
      </w:r>
      <w:r>
        <w:t xml:space="preserve">“</w:t>
      </w:r>
      <w:r>
        <w:t xml:space="preserve">the remaining budget</w:t>
      </w:r>
      <w:r>
        <w:t xml:space="preserve">”</w:t>
      </w:r>
      <w:r>
        <w:t xml:space="preserve">, which is not a specification — it meant nobody</w:t>
      </w:r>
      <w:r>
        <w:t xml:space="preserve"> </w:t>
      </w:r>
      <w:r>
        <w:t xml:space="preserve">could check the count, and the count turned out to be the one decision in the whole project</w:t>
      </w:r>
      <w:r>
        <w:t xml:space="preserve"> </w:t>
      </w:r>
      <w:r>
        <w:t xml:space="preserve">that cannot be undone after the pad ring is fixed.</w:t>
      </w:r>
    </w:p>
    <w:p>
      <w:pPr>
        <w:pStyle w:val="BodyText"/>
      </w:pPr>
      <w:r>
        <w:t xml:space="preserve">Four constraints in this document are not derivable from any block spec: the signal-pin</w:t>
      </w:r>
      <w:r>
        <w:t xml:space="preserve"> </w:t>
      </w:r>
      <w:r>
        <w:t xml:space="preserve">budget, the pad-adjacent placement of the 500 MHz divider, the SDC for the reference clock,</w:t>
      </w:r>
      <w:r>
        <w:t xml:space="preserve"> </w:t>
      </w:r>
      <w:r>
        <w:t xml:space="preserve">and the supply-pad distribution. A physical design engineer reading the eleven block specs</w:t>
      </w:r>
      <w:r>
        <w:t xml:space="preserve"> </w:t>
      </w:r>
      <w:r>
        <w:t xml:space="preserve">would not find them. They are collected here so the GDSII handoff is one package.</w:t>
      </w:r>
    </w:p>
    <w:bookmarkEnd w:id="21"/>
    <w:bookmarkStart w:id="22" w:name="normative-references"/>
    <w:p>
      <w:pPr>
        <w:pStyle w:val="Heading2"/>
      </w:pPr>
      <w:r>
        <w:t xml:space="preserve">0.3 Normative references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GARUDA-SYS-001</w:t>
      </w:r>
      <w:r>
        <w:t xml:space="preserve"> </w:t>
      </w:r>
      <w:r>
        <w:t xml:space="preserve">Rev 4.0 — the pin allocation table is generated from</w:t>
      </w:r>
      <w:r>
        <w:t xml:space="preserve"> </w:t>
      </w:r>
      <w:r>
        <w:rPr>
          <w:rStyle w:val="VerbatimChar"/>
        </w:rPr>
        <w:t xml:space="preserve">pins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GARUDA-ADR-001</w:t>
      </w:r>
      <w:r>
        <w:t xml:space="preserve"> </w:t>
      </w:r>
      <w:r>
        <w:t xml:space="preserve">Rev 1.0 — ADR-0001, 0013, 0018, 0019, 0020.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Rev 2.0 §7.6 — the clock constraint this document expands.</w:t>
      </w:r>
    </w:p>
    <w:p>
      <w:r>
        <w:pict>
          <v:rect style="width:0;height:1.5pt" o:hralign="center" o:hrstd="t" o:hr="t"/>
        </w:pict>
      </w:r>
    </w:p>
    <w:bookmarkEnd w:id="22"/>
    <w:bookmarkStart w:id="23" w:name="die-and-package"/>
    <w:p>
      <w:pPr>
        <w:pStyle w:val="Heading2"/>
      </w:pPr>
      <w:r>
        <w:t xml:space="preserve">1 Die and package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nm 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mm²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 ring perimeter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pads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 pads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pads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(assumed)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ADR-0020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[N-1.1]</w:t>
      </w:r>
      <w:r>
        <w:t xml:space="preserve"> </w:t>
      </w:r>
      <w:r>
        <w:t xml:space="preserve">At a 70 µm pad pitch, 5.80 mm of perimeter accommodates approximately 82 pads, so</w:t>
      </w:r>
      <w:r>
        <w:t xml:space="preserve"> </w:t>
      </w:r>
      <w:r>
        <w:t xml:space="preserve">40 pads is not perimeter-limited. The 40-pad figure is a programme constraint, presumably</w:t>
      </w:r>
      <w:r>
        <w:t xml:space="preserve"> </w:t>
      </w:r>
      <w:r>
        <w:t xml:space="preserve">packaging, and the die has room to spare.</w:t>
      </w:r>
    </w:p>
    <w:p>
      <w:r>
        <w:pict>
          <v:rect style="width:0;height:1.5pt" o:hralign="center" o:hrstd="t" o:hr="t"/>
        </w:pict>
      </w:r>
    </w:p>
    <w:bookmarkEnd w:id="23"/>
    <w:bookmarkStart w:id="24" w:name="the-signal-pin-budget-and-why-it-is-28"/>
    <w:p>
      <w:pPr>
        <w:pStyle w:val="Heading2"/>
      </w:pPr>
      <w:r>
        <w:t xml:space="preserve">2 The signal-pin budget and why it is 28</w:t>
      </w:r>
    </w:p>
    <w:p>
      <w:pPr>
        <w:pStyle w:val="FirstParagraph"/>
      </w:pPr>
      <w:r>
        <w:rPr>
          <w:bCs/>
          <w:b/>
        </w:rPr>
        <w:t xml:space="preserve">[N-2.1]</w:t>
      </w:r>
      <w:r>
        <w:t xml:space="preserve"> </w:t>
      </w:r>
      <w:r>
        <w:t xml:space="preserve">This project assumes the 40 pads include supply pads, leaving 28 for signals.</w:t>
      </w:r>
    </w:p>
    <w:p>
      <w:pPr>
        <w:pStyle w:val="BodyText"/>
      </w:pPr>
      <w:r>
        <w:rPr>
          <w:bCs/>
          <w:b/>
        </w:rPr>
        <w:t xml:space="preserve">[N-2.2]</w:t>
      </w:r>
      <w:r>
        <w:t xml:space="preserve"> </w:t>
      </w:r>
      <w:r>
        <w:t xml:space="preserve">The reasoning, stated because this is the one irreversible decision here. A chip</w:t>
      </w:r>
      <w:r>
        <w:t xml:space="preserve"> </w:t>
      </w:r>
      <w:r>
        <w:t xml:space="preserve">switching 30,000-odd flops at 250 MHz in 28 nm needs supply pads both for average current</w:t>
      </w:r>
      <w:r>
        <w:t xml:space="preserve"> </w:t>
      </w:r>
      <w:r>
        <w:t xml:space="preserve">and, more importantly, for distribution: a pad ring with too few supply connections, or with</w:t>
      </w:r>
      <w:r>
        <w:t xml:space="preserve"> </w:t>
      </w:r>
      <w:r>
        <w:t xml:space="preserve">them clustered, produces local supply droop and ground bounce that no amount of firmware</w:t>
      </w:r>
      <w:r>
        <w:t xml:space="preserve"> </w:t>
      </w:r>
      <w:r>
        <w:t xml:space="preserve">work can fix, and that does not appear in any pre-silicon simulation this project runs. Eight</w:t>
      </w:r>
      <w:r>
        <w:t xml:space="preserve"> </w:t>
      </w:r>
      <w:r>
        <w:t xml:space="preserve">to twelve pads, spread around the ring, is the conventional figure for a die of this class.</w:t>
      </w:r>
    </w:p>
    <w:p>
      <w:pPr>
        <w:pStyle w:val="BodyText"/>
      </w:pPr>
      <w:r>
        <w:rPr>
          <w:bCs/>
          <w:b/>
        </w:rPr>
        <w:t xml:space="preserve">[N-2.3]</w:t>
      </w:r>
      <w:r>
        <w:t xml:space="preserve"> </w:t>
      </w:r>
      <w:r>
        <w:t xml:space="preserve">The asymmetry that decides it: if the 40 pads turn out to be signal-only, adding</w:t>
      </w:r>
      <w:r>
        <w:t xml:space="preserve"> </w:t>
      </w:r>
      <w:r>
        <w:t xml:space="preserve">GPIO and the SPI slave back is a top-level wiring change and a pad-ring edit, both cheap and</w:t>
      </w:r>
      <w:r>
        <w:t xml:space="preserve"> </w:t>
      </w:r>
      <w:r>
        <w:t xml:space="preserve">both before tape-out. If they are not, and the design assumed 40 signals, the discovery comes</w:t>
      </w:r>
      <w:r>
        <w:t xml:space="preserve"> </w:t>
      </w:r>
      <w:r>
        <w:t xml:space="preserve">when the pad ring is being closed and there is no recovery. Designing for 28 and expanding is</w:t>
      </w:r>
      <w:r>
        <w:t xml:space="preserve"> </w:t>
      </w:r>
      <w:r>
        <w:t xml:space="preserve">safe; the reverse is not.</w:t>
      </w:r>
    </w:p>
    <w:p>
      <w:pPr>
        <w:pStyle w:val="BodyText"/>
      </w:pPr>
      <w:r>
        <w:rPr>
          <w:bCs/>
          <w:b/>
        </w:rPr>
        <w:t xml:space="preserve">[N-2.4]</w:t>
      </w:r>
      <w:r>
        <w:t xml:space="preserve"> </w:t>
      </w:r>
      <w:r>
        <w:rPr>
          <w:bCs/>
          <w:b/>
        </w:rPr>
        <w:t xml:space="preserve">Action for the PD mentor:</w:t>
      </w:r>
      <w:r>
        <w:t xml:space="preserve"> </w:t>
      </w:r>
      <w:r>
        <w:t xml:space="preserve">confirm against the programme’s pad frame whether</w:t>
      </w:r>
      <w:r>
        <w:t xml:space="preserve"> </w:t>
      </w:r>
      <w:r>
        <w:t xml:space="preserve">supply pads are counted in the 40. If they are not, the 36-pin expansion of §3.2 applies and</w:t>
      </w:r>
      <w:r>
        <w:t xml:space="preserve"> </w:t>
      </w:r>
      <w:r>
        <w:t xml:space="preserve">it is additive only.</w:t>
      </w:r>
    </w:p>
    <w:p>
      <w:r>
        <w:pict>
          <v:rect style="width:0;height:1.5pt" o:hralign="center" o:hrstd="t" o:hr="t"/>
        </w:pict>
      </w:r>
    </w:p>
    <w:bookmarkEnd w:id="24"/>
    <w:bookmarkStart w:id="27" w:name="pin-allocation"/>
    <w:p>
      <w:pPr>
        <w:pStyle w:val="Heading2"/>
      </w:pPr>
      <w:r>
        <w:t xml:space="preserve">3 Pin allocation</w:t>
      </w:r>
    </w:p>
    <w:bookmarkStart w:id="25" w:name="the-28-pin-configuration-baseline"/>
    <w:p>
      <w:pPr>
        <w:pStyle w:val="Heading3"/>
      </w:pPr>
      <w:r>
        <w:t xml:space="preserve">3.1 The 28-pin configuration (baseline)</w:t>
      </w:r>
    </w:p>
    <w:p>
      <w:pPr>
        <w:pStyle w:val="FirstParagraph"/>
      </w:pPr>
      <w:r>
        <w:t xml:space="preserve">Generated from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 </w:t>
      </w:r>
      <w:r>
        <w:rPr>
          <w:rStyle w:val="VerbatimChar"/>
        </w:rPr>
        <w:t xml:space="preserve">pins.allocation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fast/differential-capable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MHz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CMOS, Schmitt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reset from the board 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CMOS, Schmitt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clock, ≤20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CMOS, pull-up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mode 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CMOS, pull-up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data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CMOS, tri-state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data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spim_sclk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master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spim_mosi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master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spim_miso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master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spim_cs_flash_n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CMOS, pull-up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flash chip 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spim_cs_imu_n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CMOS, pull-up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IMU chip 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open-drain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open-drain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uart0_rx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 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uart0_tx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 transmit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uart1_rx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Ground-link 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uart1_tx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Ground-link transmit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uart2_rx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 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uart2_tx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 transmit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 output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 output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 output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 output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Discrete 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Discrete 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CMOS,</w:t>
            </w:r>
            <w:r>
              <w:t xml:space="preserve"> </w:t>
            </w:r>
            <w:r>
              <w:rPr>
                <w:bCs/>
                <w:b/>
              </w:rPr>
              <w:t xml:space="preserve">pull-down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= flash boot, 1 = JTAG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Total: 26 allocated, 2 spare, 28 budget.</w:t>
      </w:r>
    </w:p>
    <w:p>
      <w:pPr>
        <w:pStyle w:val="BodyText"/>
      </w:pPr>
      <w:r>
        <w:rPr>
          <w:bCs/>
          <w:b/>
        </w:rPr>
        <w:t xml:space="preserve">[N-3.1]</w:t>
      </w:r>
      <w:r>
        <w:t xml:space="preserve"> </w:t>
      </w:r>
      <w:r>
        <w:rPr>
          <w:rStyle w:val="VerbatimChar"/>
        </w:rPr>
        <w:t xml:space="preserve">boot_sel</w:t>
      </w:r>
      <w:r>
        <w:t xml:space="preserve"> </w:t>
      </w:r>
      <w:r>
        <w:t xml:space="preserve">has a pull-down so an unconnected pin boots from flash. A floating</w:t>
      </w:r>
      <w:r>
        <w:t xml:space="preserve"> </w:t>
      </w:r>
      <w:r>
        <w:rPr>
          <w:rStyle w:val="VerbatimChar"/>
        </w:rPr>
        <w:t xml:space="preserve">boot_sel</w:t>
      </w:r>
      <w:r>
        <w:t xml:space="preserve"> </w:t>
      </w:r>
      <w:r>
        <w:t xml:space="preserve">that read high would leave every board spinning in the recovery loop, looking</w:t>
      </w:r>
      <w:r>
        <w:t xml:space="preserve"> </w:t>
      </w:r>
      <w:r>
        <w:t xml:space="preserve">dead.</w:t>
      </w:r>
    </w:p>
    <w:p>
      <w:pPr>
        <w:pStyle w:val="BodyText"/>
      </w:pPr>
      <w:r>
        <w:rPr>
          <w:bCs/>
          <w:b/>
        </w:rPr>
        <w:t xml:space="preserve">[N-3.2]</w:t>
      </w:r>
      <w:r>
        <w:t xml:space="preserve"> </w:t>
      </w:r>
      <w:r>
        <w:rPr>
          <w:rStyle w:val="VerbatimChar"/>
        </w:rPr>
        <w:t xml:space="preserve">tms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tdi</w:t>
      </w:r>
      <w:r>
        <w:t xml:space="preserve"> </w:t>
      </w:r>
      <w:r>
        <w:t xml:space="preserve">have pull-ups per IEEE 1149.1, so an unconnected JTAG header</w:t>
      </w:r>
      <w:r>
        <w:t xml:space="preserve"> </w:t>
      </w:r>
      <w:r>
        <w:t xml:space="preserve">cannot hold the TAP in an active state.</w:t>
      </w:r>
    </w:p>
    <w:p>
      <w:pPr>
        <w:pStyle w:val="BodyText"/>
      </w:pPr>
      <w:r>
        <w:rPr>
          <w:bCs/>
          <w:b/>
        </w:rPr>
        <w:t xml:space="preserve">[N-3.3]</w:t>
      </w:r>
      <w:r>
        <w:t xml:space="preserve"> </w:t>
      </w:r>
      <w:r>
        <w:rPr>
          <w:rStyle w:val="VerbatimChar"/>
        </w:rPr>
        <w:t xml:space="preserve">i2c_scl</w:t>
      </w:r>
      <w:r>
        <w:t xml:space="preserve">/</w:t>
      </w:r>
      <w:r>
        <w:rPr>
          <w:rStyle w:val="VerbatimChar"/>
        </w:rPr>
        <w:t xml:space="preserve">i2c_sda</w:t>
      </w:r>
      <w:r>
        <w:t xml:space="preserve"> </w:t>
      </w:r>
      <w:r>
        <w:t xml:space="preserve">must be open-drain pads with no internal pull-up. I²C bus</w:t>
      </w:r>
      <w:r>
        <w:t xml:space="preserve"> </w:t>
      </w:r>
      <w:r>
        <w:t xml:space="preserve">pull-ups are sized at board level against the bus capacitance; an internal pull-up of unknown</w:t>
      </w:r>
      <w:r>
        <w:t xml:space="preserve"> </w:t>
      </w:r>
      <w:r>
        <w:t xml:space="preserve">value fights that.</w:t>
      </w:r>
    </w:p>
    <w:p>
      <w:pPr>
        <w:pStyle w:val="BodyText"/>
      </w:pPr>
      <w:r>
        <w:rPr>
          <w:bCs/>
          <w:b/>
        </w:rPr>
        <w:t xml:space="preserve">[N-3.4]</w:t>
      </w:r>
      <w:r>
        <w:t xml:space="preserve"> </w:t>
      </w:r>
      <w:r>
        <w:t xml:space="preserve">The four PWM pins are dedicated, not GPIO-multiplexed. An ESC output that a GPIO</w:t>
      </w:r>
      <w:r>
        <w:t xml:space="preserve"> </w:t>
      </w:r>
      <w:r>
        <w:t xml:space="preserve">register write can steal is a flight-safety hazard, and four pins is affordable even in the</w:t>
      </w:r>
      <w:r>
        <w:t xml:space="preserve"> </w:t>
      </w:r>
      <w:r>
        <w:t xml:space="preserve">28-pin budget. This is the one place in the pin budget where safety beat economy.</w:t>
      </w:r>
    </w:p>
    <w:p>
      <w:pPr>
        <w:pStyle w:val="BodyText"/>
      </w:pPr>
      <w:r>
        <w:rPr>
          <w:bCs/>
          <w:b/>
        </w:rPr>
        <w:t xml:space="preserve">[N-3.5]</w:t>
      </w:r>
      <w:r>
        <w:t xml:space="preserve"> </w:t>
      </w:r>
      <w:r>
        <w:t xml:space="preserve">Two chip selects on the SPI master, because the boot flash and the IMU share the</w:t>
      </w:r>
      <w:r>
        <w:t xml:space="preserve"> </w:t>
      </w:r>
      <w:r>
        <w:t xml:space="preserve">bus. No previous document accounted for the second one.</w:t>
      </w:r>
    </w:p>
    <w:bookmarkEnd w:id="25"/>
    <w:bookmarkStart w:id="26" w:name="the-36-pin-expansion-contingent"/>
    <w:p>
      <w:pPr>
        <w:pStyle w:val="Heading3"/>
      </w:pPr>
      <w:r>
        <w:t xml:space="preserve">3.2 The 36-pin expansion (contingent)</w:t>
      </w:r>
    </w:p>
    <w:p>
      <w:pPr>
        <w:pStyle w:val="FirstParagraph"/>
      </w:pPr>
      <w:r>
        <w:rPr>
          <w:bCs/>
          <w:b/>
        </w:rPr>
        <w:t xml:space="preserve">[N-3.6]</w:t>
      </w:r>
      <w:r>
        <w:t xml:space="preserve"> </w:t>
      </w:r>
      <w:r>
        <w:t xml:space="preserve">If supply pads prove to be outside the 40, these are added. Additive only —</w:t>
      </w:r>
      <w:r>
        <w:t xml:space="preserve"> </w:t>
      </w:r>
      <w:r>
        <w:t xml:space="preserve">nothing in §3.1 moves.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29–32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spis_sclk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spis_mosi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spis_miso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spis_cs_n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 companion / ESP-NOW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33–38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</w:t>
            </w:r>
            <w:r>
              <w:t xml:space="preserve">–</w:t>
            </w:r>
            <w:r>
              <w:rPr>
                <w:rStyle w:val="VerbatimChar"/>
              </w:rPr>
              <w:t xml:space="preserve">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Discrete 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[N-3.7]</w:t>
      </w:r>
      <w:r>
        <w:t xml:space="preserve"> </w:t>
      </w:r>
      <w:r>
        <w:t xml:space="preserve">The design already supports this: block 14’s number is held, DMA channel 4 and its</w:t>
      </w:r>
      <w:r>
        <w:t xml:space="preserve"> </w:t>
      </w:r>
      <w:r>
        <w:t xml:space="preserve">registers and interrupts exist with</w:t>
      </w:r>
      <w:r>
        <w:t xml:space="preserve"> </w:t>
      </w:r>
      <w:r>
        <w:rPr>
          <w:rStyle w:val="VerbatimChar"/>
        </w:rPr>
        <w:t xml:space="preserve">dma_req_i[4]</w:t>
      </w:r>
      <w:r>
        <w:t xml:space="preserve"> </w:t>
      </w:r>
      <w:r>
        <w:t xml:space="preserve">tied low, CLIC ID 14 is reserved, and APB</w:t>
      </w:r>
      <w:r>
        <w:t xml:space="preserve"> </w:t>
      </w:r>
      <w:r>
        <w:t xml:space="preserve">window</w:t>
      </w:r>
      <w:r>
        <w:t xml:space="preserve"> </w:t>
      </w:r>
      <w:r>
        <w:rPr>
          <w:rStyle w:val="VerbatimChar"/>
        </w:rPr>
        <w:t xml:space="preserve">0x4000_0000</w:t>
      </w:r>
      <w:r>
        <w:t xml:space="preserve"> </w:t>
      </w:r>
      <w:r>
        <w:t xml:space="preserve">is left unmapped rather than compacting the map. The expansion is a</w:t>
      </w:r>
      <w:r>
        <w:t xml:space="preserve"> </w:t>
      </w:r>
      <w:r>
        <w:t xml:space="preserve">top-level wiring change and a pad-ring edit, not a redesign. This is what</w:t>
      </w:r>
      <w:r>
        <w:t xml:space="preserve"> </w:t>
      </w:r>
      <w:r>
        <w:t xml:space="preserve">“</w:t>
      </w:r>
      <w:r>
        <w:t xml:space="preserve">closed in the</w:t>
      </w:r>
      <w:r>
        <w:t xml:space="preserve"> </w:t>
      </w:r>
      <w:r>
        <w:t xml:space="preserve">recoverable direction</w:t>
      </w:r>
      <w:r>
        <w:t xml:space="preserve">”</w:t>
      </w:r>
      <w:r>
        <w:t xml:space="preserve"> </w:t>
      </w:r>
      <w:r>
        <w:t xml:space="preserve">meant in ADR-0020.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supply-pads"/>
    <w:p>
      <w:pPr>
        <w:pStyle w:val="Heading2"/>
      </w:pPr>
      <w:r>
        <w:t xml:space="preserve">4 Supply pads</w:t>
      </w:r>
    </w:p>
    <w:p>
      <w:pPr>
        <w:pStyle w:val="FirstParagraph"/>
      </w:pPr>
      <w:r>
        <w:rPr>
          <w:bCs/>
          <w:b/>
        </w:rPr>
        <w:t xml:space="preserve">[N-4.1]</w:t>
      </w:r>
      <w:r>
        <w:t xml:space="preserve"> </w:t>
      </w:r>
      <w:r>
        <w:t xml:space="preserve">Twelve pads assumed: 6 VDD (1.0 V core) and 6 VSS, distributed around the ring</w:t>
      </w:r>
      <w:r>
        <w:t xml:space="preserve"> </w:t>
      </w:r>
      <w:r>
        <w:t xml:space="preserve">with no more than about 1.2 mm of perimeter between adjacent supply pairs.</w:t>
      </w:r>
    </w:p>
    <w:p>
      <w:pPr>
        <w:pStyle w:val="BodyText"/>
      </w:pPr>
      <w:r>
        <w:rPr>
          <w:bCs/>
          <w:b/>
        </w:rPr>
        <w:t xml:space="preserve">[N-4.2]</w:t>
      </w:r>
      <w:r>
        <w:t xml:space="preserve"> </w:t>
      </w:r>
      <w:r>
        <w:t xml:space="preserve">Distribution matters more than count. Supply pads clustered on one edge leave the</w:t>
      </w:r>
      <w:r>
        <w:t xml:space="preserve"> </w:t>
      </w:r>
      <w:r>
        <w:t xml:space="preserve">opposite corners of the die fed through the full width of the power grid, and at 250 MHz the</w:t>
      </w:r>
      <w:r>
        <w:t xml:space="preserve"> </w:t>
      </w:r>
      <w:r>
        <w:t xml:space="preserve">resulting IR drop and ground bounce is a functional failure, not a margin question.</w:t>
      </w:r>
    </w:p>
    <w:p>
      <w:pPr>
        <w:pStyle w:val="BodyText"/>
      </w:pPr>
      <w:r>
        <w:rPr>
          <w:bCs/>
          <w:b/>
        </w:rPr>
        <w:t xml:space="preserve">[N-4.3]</w:t>
      </w:r>
      <w:r>
        <w:t xml:space="preserve"> </w:t>
      </w:r>
      <w:r>
        <w:t xml:space="preserve">If the pad library provides separate IO supplies (VDDIO/VSSIO), the split between</w:t>
      </w:r>
      <w:r>
        <w:t xml:space="preserve"> </w:t>
      </w:r>
      <w:r>
        <w:t xml:space="preserve">core and IO supplies is the PD engineer’s call against the pad library’s requirements. This</w:t>
      </w:r>
      <w:r>
        <w:t xml:space="preserve"> </w:t>
      </w:r>
      <w:r>
        <w:t xml:space="preserve">document does not constrain it beyond [N-4.1]’s distribution requirement.</w:t>
      </w:r>
    </w:p>
    <w:p>
      <w:pPr>
        <w:pStyle w:val="BodyText"/>
      </w:pPr>
      <w:r>
        <w:rPr>
          <w:bCs/>
          <w:b/>
        </w:rPr>
        <w:t xml:space="preserve">[N-4.4]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refclk</w:t>
      </w:r>
      <w:r>
        <w:t xml:space="preserve"> </w:t>
      </w:r>
      <w:r>
        <w:t xml:space="preserve">pad’s supply should be on the quietest available segment, and</w:t>
      </w:r>
      <w:r>
        <w:t xml:space="preserve"> </w:t>
      </w:r>
      <w:r>
        <w:t xml:space="preserve">ideally not shared with the PWM outputs, which switch hard into inductive loads. Jitter</w:t>
      </w:r>
      <w:r>
        <w:t xml:space="preserve"> </w:t>
      </w:r>
      <w:r>
        <w:t xml:space="preserve">injected onto the reference propagates to every clock in the chip.</w:t>
      </w:r>
    </w:p>
    <w:p>
      <w:r>
        <w:pict>
          <v:rect style="width:0;height:1.5pt" o:hralign="center" o:hrstd="t" o:hr="t"/>
        </w:pict>
      </w:r>
    </w:p>
    <w:bookmarkEnd w:id="28"/>
    <w:bookmarkStart w:id="32" w:name="X270fc03db61c006763ce0b7784686f105194234"/>
    <w:p>
      <w:pPr>
        <w:pStyle w:val="Heading2"/>
      </w:pPr>
      <w:r>
        <w:t xml:space="preserve">5 The 500 MHz reference clock — the critical physical constraint</w:t>
      </w:r>
    </w:p>
    <w:p>
      <w:pPr>
        <w:pStyle w:val="FirstParagraph"/>
      </w:pPr>
      <w:r>
        <w:rPr>
          <w:bCs/>
          <w:b/>
        </w:rPr>
        <w:t xml:space="preserve">[N-5.1]</w:t>
      </w:r>
      <w:r>
        <w:t xml:space="preserve"> </w:t>
      </w:r>
      <w:r>
        <w:t xml:space="preserve">This section is the reason this document exists as more than a pin table.</w:t>
      </w:r>
    </w:p>
    <w:bookmarkStart w:id="29" w:name="placement"/>
    <w:p>
      <w:pPr>
        <w:pStyle w:val="Heading3"/>
      </w:pPr>
      <w:r>
        <w:t xml:space="preserve">5.1 Placement</w:t>
      </w:r>
    </w:p>
    <w:p>
      <w:pPr>
        <w:pStyle w:val="FirstParagraph"/>
      </w:pPr>
      <w:r>
        <w:rPr>
          <w:bCs/>
          <w:b/>
        </w:rPr>
        <w:t xml:space="preserve">[N-5.2]</w:t>
      </w:r>
      <w:r>
        <w:t xml:space="preserve"> </w:t>
      </w:r>
      <w:r>
        <w:rPr>
          <w:rStyle w:val="VerbatimChar"/>
        </w:rPr>
        <w:t xml:space="preserve">clkdiv_toggle_hclk</w:t>
      </w:r>
      <w:r>
        <w:t xml:space="preserve"> </w:t>
      </w:r>
      <w:r>
        <w:t xml:space="preserve">— the single divide-by-2 toggle flop in</w:t>
      </w:r>
      <w:r>
        <w:t xml:space="preserve"> </w:t>
      </w:r>
      <w:r>
        <w:rPr>
          <w:rStyle w:val="VerbatimChar"/>
        </w:rPr>
        <w:t xml:space="preserve">clk_div</w:t>
      </w:r>
      <w:r>
        <w:t xml:space="preserve"> </w:t>
      </w:r>
      <w:r>
        <w:t xml:space="preserve">— shall be</w:t>
      </w:r>
      <w:r>
        <w:t xml:space="preserve"> </w:t>
      </w:r>
      <w:r>
        <w:t xml:space="preserve">placed</w:t>
      </w:r>
      <w:r>
        <w:t xml:space="preserve"> </w:t>
      </w:r>
      <w:r>
        <w:rPr>
          <w:bCs/>
          <w:b/>
        </w:rPr>
        <w:t xml:space="preserve">abutting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refclk</w:t>
      </w:r>
      <w:r>
        <w:rPr>
          <w:bCs/>
          <w:b/>
        </w:rPr>
        <w:t xml:space="preserve"> </w:t>
      </w:r>
      <w:r>
        <w:rPr>
          <w:bCs/>
          <w:b/>
        </w:rPr>
        <w:t xml:space="preserve">pad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refclk</w:t>
      </w:r>
      <w:r>
        <w:t xml:space="preserve"> </w:t>
      </w:r>
      <w:r>
        <w:t xml:space="preserve">net shall connect the pad’s input buffer to</w:t>
      </w:r>
      <w:r>
        <w:t xml:space="preserve"> </w:t>
      </w:r>
      <w:r>
        <w:t xml:space="preserve">that flop’s clock input, and to nothing else.</w:t>
      </w:r>
    </w:p>
    <w:p>
      <w:pPr>
        <w:pStyle w:val="BodyText"/>
      </w:pPr>
      <w:r>
        <w:rPr>
          <w:bCs/>
          <w:b/>
        </w:rPr>
        <w:t xml:space="preserve">[N-5.3]</w:t>
      </w:r>
      <w:r>
        <w:t xml:space="preserve"> </w:t>
      </w:r>
      <w:r>
        <w:t xml:space="preserve">Target net length: under 100 µm. Nothing else may be placed on this net, and it</w:t>
      </w:r>
      <w:r>
        <w:t xml:space="preserve"> </w:t>
      </w:r>
      <w:r>
        <w:t xml:space="preserve">should not be routed on a layer or in a channel shared with long parallel neighbours.</w:t>
      </w:r>
    </w:p>
    <w:p>
      <w:pPr>
        <w:pStyle w:val="BodyText"/>
      </w:pPr>
      <w:r>
        <w:rPr>
          <w:bCs/>
          <w:b/>
        </w:rPr>
        <w:t xml:space="preserve">[N-5.4]</w:t>
      </w:r>
      <w:r>
        <w:t xml:space="preserve"> </w:t>
      </w:r>
      <w:r>
        <w:t xml:space="preserve">Rationale. 500 MHz is a 2 ns period on a 1.45 mm die in a bond-wire package. A</w:t>
      </w:r>
      <w:r>
        <w:t xml:space="preserve"> </w:t>
      </w:r>
      <w:r>
        <w:t xml:space="preserve">500 MHz net routed across the die would need its own insertion-delay budget inside the clock</w:t>
      </w:r>
      <w:r>
        <w:t xml:space="preserve"> </w:t>
      </w:r>
      <w:r>
        <w:t xml:space="preserve">tree, would couple into every neighbour it runs alongside, and would make the reference’s duty</w:t>
      </w:r>
      <w:r>
        <w:t xml:space="preserve"> </w:t>
      </w:r>
      <w:r>
        <w:t xml:space="preserve">distortion a chip-wide concern rather than a local one. Confining it to the pad’s immediate</w:t>
      </w:r>
      <w:r>
        <w:t xml:space="preserve"> </w:t>
      </w:r>
      <w:r>
        <w:t xml:space="preserve">neighbourhood means 500 MHz exists on roughly 50–100 µm of metal and</w:t>
      </w:r>
      <w:r>
        <w:t xml:space="preserve"> </w:t>
      </w:r>
      <w:r>
        <w:rPr>
          <w:bCs/>
          <w:b/>
        </w:rPr>
        <w:t xml:space="preserve">every other net in the</w:t>
      </w:r>
      <w:r>
        <w:rPr>
          <w:bCs/>
          <w:b/>
        </w:rPr>
        <w:t xml:space="preserve"> </w:t>
      </w:r>
      <w:r>
        <w:rPr>
          <w:bCs/>
          <w:b/>
        </w:rPr>
        <w:t xml:space="preserve">chip is 250 MHz or slower.</w:t>
      </w:r>
      <w:r>
        <w:t xml:space="preserve"> </w:t>
      </w:r>
      <w:r>
        <w:t xml:space="preserve">This converts a chip-wide risk into a local, inspectable one.</w:t>
      </w:r>
    </w:p>
    <w:bookmarkEnd w:id="29"/>
    <w:bookmarkStart w:id="30" w:name="timing-constraints"/>
    <w:p>
      <w:pPr>
        <w:pStyle w:val="Heading3"/>
      </w:pPr>
      <w:r>
        <w:t xml:space="preserve">5.2 Timing constraints</w:t>
      </w:r>
    </w:p>
    <w:p>
      <w:pPr>
        <w:pStyle w:val="FirstParagraph"/>
      </w:pPr>
      <w:r>
        <w:rPr>
          <w:bCs/>
          <w:b/>
        </w:rPr>
        <w:t xml:space="preserve">[N-5.5]</w:t>
      </w:r>
      <w:r>
        <w:t xml:space="preserve"> </w:t>
      </w:r>
      <w:r>
        <w:t xml:space="preserve">The reference clock and the two derived clocks, for the SDC. This expands</w:t>
      </w:r>
      <w:r>
        <w:t xml:space="preserve"> </w:t>
      </w: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§7.6:</w:t>
      </w:r>
    </w:p>
    <w:p>
      <w:pPr>
        <w:pStyle w:val="SourceCode"/>
      </w:pPr>
      <w:r>
        <w:rPr>
          <w:rStyle w:val="CommentTok"/>
        </w:rPr>
        <w:t xml:space="preserve"># ---- reference: 500 MHz, 2 ns. The only net at this frequency.</w:t>
      </w:r>
      <w:r>
        <w:br/>
      </w:r>
      <w:r>
        <w:rPr>
          <w:rStyle w:val="NormalTok"/>
        </w:rPr>
        <w:t xml:space="preserve">create_clock</w:t>
      </w:r>
      <w:r>
        <w:rPr>
          <w:rStyle w:val="OtherTok"/>
        </w:rPr>
        <w:t xml:space="preserve"> -name</w:t>
      </w:r>
      <w:r>
        <w:rPr>
          <w:rStyle w:val="NormalTok"/>
        </w:rPr>
        <w:t xml:space="preserve"> refclk</w:t>
      </w:r>
      <w:r>
        <w:rPr>
          <w:rStyle w:val="OtherTok"/>
        </w:rPr>
        <w:t xml:space="preserve"> -period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get_ports refclk_i</w:t>
      </w:r>
      <w:r>
        <w:rPr>
          <w:rStyle w:val="KeywordTok"/>
        </w:rPr>
        <w:t xml:space="preserve">]</w:t>
      </w:r>
      <w:r>
        <w:br/>
      </w:r>
      <w:r>
        <w:rPr>
          <w:rStyle w:val="NormalTok"/>
        </w:rPr>
        <w:t xml:space="preserve">set_clock_uncertainty</w:t>
      </w:r>
      <w:r>
        <w:rPr>
          <w:rStyle w:val="OtherTok"/>
        </w:rPr>
        <w:t xml:space="preserve"> -setup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refclk</w:t>
      </w:r>
      <w:r>
        <w:rPr>
          <w:rStyle w:val="KeywordTok"/>
        </w:rPr>
        <w:t xml:space="preserve">]</w:t>
      </w:r>
      <w:r>
        <w:br/>
      </w:r>
      <w:r>
        <w:rPr>
          <w:rStyle w:val="NormalTok"/>
        </w:rPr>
        <w:t xml:space="preserve">set_input_transition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get_ports refclk_i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---- hclk: 250 MHz, derived by the pad-adjacent toggle flop</w:t>
      </w:r>
      <w:r>
        <w:br/>
      </w:r>
      <w:r>
        <w:rPr>
          <w:rStyle w:val="NormalTok"/>
        </w:rPr>
        <w:t xml:space="preserve">create_generated_clock</w:t>
      </w:r>
      <w:r>
        <w:rPr>
          <w:rStyle w:val="OtherTok"/>
        </w:rPr>
        <w:t xml:space="preserve"> -name</w:t>
      </w:r>
      <w:r>
        <w:rPr>
          <w:rStyle w:val="NormalTok"/>
        </w:rPr>
        <w:t xml:space="preserve"> hclk \</w:t>
      </w:r>
      <w:r>
        <w:br/>
      </w:r>
      <w:r>
        <w:rPr>
          <w:rStyle w:val="NormalTok"/>
        </w:rPr>
        <w:t xml:space="preserve">    -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get_ports refclk_i</w:t>
      </w:r>
      <w:r>
        <w:rPr>
          <w:rStyle w:val="KeywordTok"/>
        </w:rPr>
        <w:t xml:space="preserve">]</w:t>
      </w:r>
      <w:r>
        <w:rPr>
          <w:rStyle w:val="OtherTok"/>
        </w:rPr>
        <w:t xml:space="preserve"> -divide_by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get_pins u_clk_div/u_clkdiv_toggle_hclk/Q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---- pclk: 125 MHz, derived from hclk by a second toggle flop</w:t>
      </w:r>
      <w:r>
        <w:br/>
      </w:r>
      <w:r>
        <w:rPr>
          <w:rStyle w:val="NormalTok"/>
        </w:rPr>
        <w:t xml:space="preserve">create_generated_clock</w:t>
      </w:r>
      <w:r>
        <w:rPr>
          <w:rStyle w:val="OtherTok"/>
        </w:rPr>
        <w:t xml:space="preserve"> -name</w:t>
      </w:r>
      <w:r>
        <w:rPr>
          <w:rStyle w:val="NormalTok"/>
        </w:rPr>
        <w:t xml:space="preserve"> pclk \</w:t>
      </w:r>
      <w:r>
        <w:br/>
      </w:r>
      <w:r>
        <w:rPr>
          <w:rStyle w:val="NormalTok"/>
        </w:rPr>
        <w:t xml:space="preserve">    -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get_pins u_clk_div/u_clkdiv_toggle_hclk/Q</w:t>
      </w:r>
      <w:r>
        <w:rPr>
          <w:rStyle w:val="KeywordTok"/>
        </w:rPr>
        <w:t xml:space="preserve">]</w:t>
      </w:r>
      <w:r>
        <w:rPr>
          <w:rStyle w:val="OtherTok"/>
        </w:rPr>
        <w:t xml:space="preserve"> -divide_by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get_pins u_clk_div/u_clkdiv_toggle_pclk/Q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---- hclk and pclk are synchronous: shared edges, integer ratio.</w:t>
      </w:r>
      <w:r>
        <w:br/>
      </w:r>
      <w:r>
        <w:rPr>
          <w:rStyle w:val="CommentTok"/>
        </w:rPr>
        <w:t xml:space="preserve">#      DO NOT declare them asynchronous or exclusive. Paths between them</w:t>
      </w:r>
      <w:r>
        <w:br/>
      </w:r>
      <w:r>
        <w:rPr>
          <w:rStyle w:val="CommentTok"/>
        </w:rPr>
        <w:t xml:space="preserve">#      are real and must be timed. See GARUDA-AHB2APB-SPEC-001 §7.2.</w:t>
      </w:r>
      <w:r>
        <w:br/>
      </w:r>
      <w:r>
        <w:rPr>
          <w:rStyle w:val="NormalTok"/>
        </w:rPr>
        <w:t xml:space="preserve">set_clock_groups</w:t>
      </w:r>
      <w:r>
        <w:rPr>
          <w:rStyle w:val="OtherTok"/>
        </w:rPr>
        <w:t xml:space="preserve"> -logically_exclusive -group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refclk</w:t>
      </w:r>
      <w:r>
        <w:rPr>
          <w:rStyle w:val="KeywordTok"/>
        </w:rPr>
        <w:t xml:space="preserve">}</w:t>
      </w:r>
      <w:r>
        <w:rPr>
          <w:rStyle w:val="OtherTok"/>
        </w:rPr>
        <w:t xml:space="preserve"> -group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hclk pclk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 JTAG: genuinely asynchronous, the only such boundary in the chip</w:t>
      </w:r>
      <w:r>
        <w:br/>
      </w:r>
      <w:r>
        <w:rPr>
          <w:rStyle w:val="NormalTok"/>
        </w:rPr>
        <w:t xml:space="preserve">create_clock</w:t>
      </w:r>
      <w:r>
        <w:rPr>
          <w:rStyle w:val="OtherTok"/>
        </w:rPr>
        <w:t xml:space="preserve"> -name</w:t>
      </w:r>
      <w:r>
        <w:rPr>
          <w:rStyle w:val="NormalTok"/>
        </w:rPr>
        <w:t xml:space="preserve"> tck</w:t>
      </w:r>
      <w:r>
        <w:rPr>
          <w:rStyle w:val="OtherTok"/>
        </w:rPr>
        <w:t xml:space="preserve"> -period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get_ports tck</w:t>
      </w:r>
      <w:r>
        <w:rPr>
          <w:rStyle w:val="KeywordTok"/>
        </w:rPr>
        <w:t xml:space="preserve">]</w:t>
      </w:r>
      <w:r>
        <w:br/>
      </w:r>
      <w:r>
        <w:rPr>
          <w:rStyle w:val="NormalTok"/>
        </w:rPr>
        <w:t xml:space="preserve">set_clock_groups</w:t>
      </w:r>
      <w:r>
        <w:rPr>
          <w:rStyle w:val="OtherTok"/>
        </w:rPr>
        <w:t xml:space="preserve"> -asynchronous -group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tck</w:t>
      </w:r>
      <w:r>
        <w:rPr>
          <w:rStyle w:val="KeywordTok"/>
        </w:rPr>
        <w:t xml:space="preserve">}</w:t>
      </w:r>
      <w:r>
        <w:rPr>
          <w:rStyle w:val="OtherTok"/>
        </w:rPr>
        <w:t xml:space="preserve"> -group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hclk pclk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 the divider flop is the tightest path in the design: 2 ns, one flop,</w:t>
      </w:r>
      <w:r>
        <w:br/>
      </w:r>
      <w:r>
        <w:rPr>
          <w:rStyle w:val="CommentTok"/>
        </w:rPr>
        <w:t xml:space="preserve">#      output inverted to its own input, no combinational logic between.</w:t>
      </w:r>
      <w:r>
        <w:br/>
      </w:r>
      <w:r>
        <w:rPr>
          <w:rStyle w:val="CommentTok"/>
        </w:rPr>
        <w:t xml:space="preserve">#      It must be constrained at refclk, never inherited from hclk.</w:t>
      </w:r>
      <w:r>
        <w:br/>
      </w:r>
      <w:r>
        <w:rPr>
          <w:rStyle w:val="NormalTok"/>
        </w:rPr>
        <w:t xml:space="preserve">set_max_delay </w:t>
      </w:r>
      <w:r>
        <w:rPr>
          <w:rStyle w:val="FloatTok"/>
        </w:rPr>
        <w:t xml:space="preserve">1.8</w:t>
      </w:r>
      <w:r>
        <w:rPr>
          <w:rStyle w:val="OtherTok"/>
        </w:rPr>
        <w:t xml:space="preserve"> -from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get_pins u_clk_div/u_clkdiv_toggle_hclk/Q</w:t>
      </w:r>
      <w:r>
        <w:rPr>
          <w:rStyle w:val="KeywordTok"/>
        </w:rPr>
        <w:t xml:space="preserve">]</w:t>
      </w:r>
      <w:r>
        <w:rPr>
          <w:rStyle w:val="NormalTok"/>
        </w:rPr>
        <w:t xml:space="preserve"> \</w:t>
      </w:r>
      <w:r>
        <w:br/>
      </w:r>
      <w:r>
        <w:rPr>
          <w:rStyle w:val="NormalTok"/>
        </w:rPr>
        <w:t xml:space="preserve">                  -to  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get_pins u_clk_div/u_clkdiv_toggle_hclk/D</w:t>
      </w:r>
      <w:r>
        <w:rPr>
          <w:rStyle w:val="KeywordTok"/>
        </w:rPr>
        <w:t xml:space="preserve">]</w:t>
      </w:r>
    </w:p>
    <w:p>
      <w:pPr>
        <w:pStyle w:val="FirstParagraph"/>
      </w:pPr>
      <w:r>
        <w:rPr>
          <w:bCs/>
          <w:b/>
        </w:rPr>
        <w:t xml:space="preserve">[N-5.6]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set_clock_groups -logically_exclusive</w:t>
      </w:r>
      <w:r>
        <w:t xml:space="preserve"> </w:t>
      </w:r>
      <w:r>
        <w:t xml:space="preserve">between</w:t>
      </w:r>
      <w:r>
        <w:t xml:space="preserve"> </w:t>
      </w:r>
      <w:r>
        <w:rPr>
          <w:rStyle w:val="VerbatimChar"/>
        </w:rPr>
        <w:t xml:space="preserve">refclk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{hclk, pclk}</w:t>
      </w:r>
      <w:r>
        <w:t xml:space="preserve"> </w:t>
      </w:r>
      <w:r>
        <w:t xml:space="preserve">is</w:t>
      </w:r>
      <w:r>
        <w:t xml:space="preserve"> </w:t>
      </w:r>
      <w:r>
        <w:t xml:space="preserve">correct because no functional path crosses from the 500 MHz domain to the derived clocks other</w:t>
      </w:r>
      <w:r>
        <w:t xml:space="preserve"> </w:t>
      </w:r>
      <w:r>
        <w:t xml:space="preserve">than through the divider flop itself, which is constrained separately.</w:t>
      </w:r>
    </w:p>
    <w:p>
      <w:pPr>
        <w:pStyle w:val="BodyText"/>
      </w:pPr>
      <w:r>
        <w:rPr>
          <w:bCs/>
          <w:b/>
        </w:rPr>
        <w:t xml:space="preserve">[N-5.7]</w:t>
      </w:r>
      <w:r>
        <w:t xml:space="preserve"> </w:t>
      </w:r>
      <w:r>
        <w:rPr>
          <w:rStyle w:val="VerbatimChar"/>
          <w:bCs/>
          <w:b/>
        </w:rPr>
        <w:t xml:space="preserve">hclk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pclk</w:t>
      </w:r>
      <w:r>
        <w:rPr>
          <w:bCs/>
          <w:b/>
        </w:rPr>
        <w:t xml:space="preserve"> </w:t>
      </w:r>
      <w:r>
        <w:rPr>
          <w:bCs/>
          <w:b/>
        </w:rPr>
        <w:t xml:space="preserve">must not be declared asynchronous or exclusive of each</w:t>
      </w:r>
      <w:r>
        <w:rPr>
          <w:bCs/>
          <w:b/>
        </w:rPr>
        <w:t xml:space="preserve"> </w:t>
      </w:r>
      <w:r>
        <w:rPr>
          <w:bCs/>
          <w:b/>
        </w:rPr>
        <w:t xml:space="preserve">other.</w:t>
      </w:r>
      <w:r>
        <w:t xml:space="preserve"> </w:t>
      </w:r>
      <w:r>
        <w:t xml:space="preserve">Every path between them is real, synchronous and must be timed. This is the whole</w:t>
      </w:r>
      <w:r>
        <w:t xml:space="preserve"> </w:t>
      </w:r>
      <w:r>
        <w:t xml:space="preserve">basis of the chip’s no-CDC architecture, and an incorrect</w:t>
      </w:r>
      <w:r>
        <w:t xml:space="preserve"> </w:t>
      </w:r>
      <w:r>
        <w:rPr>
          <w:rStyle w:val="VerbatimChar"/>
        </w:rPr>
        <w:t xml:space="preserve">set_clock_groups</w:t>
      </w:r>
      <w:r>
        <w:t xml:space="preserve"> </w:t>
      </w:r>
      <w:r>
        <w:t xml:space="preserve">here would</w:t>
      </w:r>
      <w:r>
        <w:t xml:space="preserve"> </w:t>
      </w:r>
      <w:r>
        <w:t xml:space="preserve">silently waive the paths the design depends on. It is called out because it is the single most</w:t>
      </w:r>
      <w:r>
        <w:t xml:space="preserve"> </w:t>
      </w:r>
      <w:r>
        <w:t xml:space="preserve">likely constraint mistake in this design, and its symptom is silicon that fails</w:t>
      </w:r>
      <w:r>
        <w:t xml:space="preserve"> </w:t>
      </w:r>
      <w:r>
        <w:t xml:space="preserve">intermittently at the bridge.</w:t>
      </w:r>
    </w:p>
    <w:bookmarkEnd w:id="30"/>
    <w:bookmarkStart w:id="31" w:name="what-to-check-after-synthesis"/>
    <w:p>
      <w:pPr>
        <w:pStyle w:val="Heading3"/>
      </w:pPr>
      <w:r>
        <w:t xml:space="preserve">5.3 What to check after synthesis</w:t>
      </w:r>
    </w:p>
    <w:p>
      <w:pPr>
        <w:pStyle w:val="FirstParagraph"/>
      </w:pPr>
      <w:r>
        <w:rPr>
          <w:bCs/>
          <w:b/>
        </w:rPr>
        <w:t xml:space="preserve">[N-5.8]</w:t>
      </w:r>
      <w:r>
        <w:t xml:space="preserve"> </w:t>
      </w:r>
      <w:r>
        <w:t xml:space="preserve">Three checks specific to this design, beyond normal closure: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refclk</w:t>
            </w:r>
            <w:r>
              <w:t xml:space="preserve"> </w:t>
            </w:r>
            <w:r>
              <w:t xml:space="preserve">fanout is exactly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Confirms [N-5.2]. Any other load means 500 MHz escaped the pad.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  <w:r>
              <w:t xml:space="preserve">/</w:t>
            </w: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paths are timed, not waived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Confirms [N-5.7]. Look for unexpected</w:t>
            </w:r>
            <w:r>
              <w:t xml:space="preserve"> </w:t>
            </w:r>
            <w:r>
              <w:rPr>
                <w:rStyle w:val="VerbatimChar"/>
              </w:rPr>
              <w:t xml:space="preserve">set_clock_groups</w:t>
            </w:r>
            <w:r>
              <w:t xml:space="preserve"> </w:t>
            </w:r>
            <w:r>
              <w:t xml:space="preserve">or false paths in the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WFI clock gate produces no runt pulse at gate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ICG’s enable timing is invisible in RTL simulation (</w:t>
            </w:r>
            <w:r>
              <w:rPr>
                <w:rStyle w:val="VerbatimChar"/>
              </w:rPr>
              <w:t xml:space="preserve">GARUDA-CORE-SPEC-001</w:t>
            </w:r>
            <w:r>
              <w:t xml:space="preserve"> </w:t>
            </w:r>
            <w:r>
              <w:t xml:space="preserve">[N-11.4]).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floorplan-guidance"/>
    <w:p>
      <w:pPr>
        <w:pStyle w:val="Heading2"/>
      </w:pPr>
      <w:r>
        <w:t xml:space="preserve">6 Floorplan guidance</w:t>
      </w:r>
    </w:p>
    <w:p>
      <w:pPr>
        <w:pStyle w:val="FirstParagraph"/>
      </w:pPr>
      <w:r>
        <w:rPr>
          <w:bCs/>
          <w:b/>
        </w:rPr>
        <w:t xml:space="preserve">[N-6.1]</w:t>
      </w:r>
      <w:r>
        <w:t xml:space="preserve"> </w:t>
      </w:r>
      <w:r>
        <w:t xml:space="preserve">Not constraints, except where marked. The PD engineer owns the floorplan; these</w:t>
      </w:r>
      <w:r>
        <w:t xml:space="preserve"> </w:t>
      </w:r>
      <w:r>
        <w:t xml:space="preserve">are the adjacencies the design’s timing depends 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Binding?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clkdiv_toggle_hclk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abutting the</w:t>
            </w:r>
            <w:r>
              <w:t xml:space="preserve"> </w:t>
            </w:r>
            <w:r>
              <w:rPr>
                <w:rStyle w:val="VerbatimChar"/>
              </w:rPr>
              <w:t xml:space="preserve">refclk</w:t>
            </w:r>
            <w:r>
              <w:t xml:space="preserve"> </w:t>
            </w: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yes,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ISRAM (64 KiB)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 the core’s IF and the D-port LSU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DSRAM (4 × 16 KiB)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 the LSU; the four macros may be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 ROM (4 KiB)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anywhere; accessed once per power-on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+ DSU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region; the EX critical path must not cross a macro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guidance, important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AHB interconnect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to the four slaves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peripherals +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perimeter, near their pads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JTAG TAP + DTM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 the JTAG pads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 the PWM pads, away from</w:t>
            </w:r>
            <w:r>
              <w:t xml:space="preserve"> </w:t>
            </w:r>
            <w:r>
              <w:rPr>
                <w:rStyle w:val="VerbatimChar"/>
              </w:rPr>
              <w:t xml:space="preserve">refclk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guidance, §4.4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[N-6.2]</w:t>
      </w:r>
      <w:r>
        <w:t xml:space="preserve"> </w:t>
      </w:r>
      <w:r>
        <w:t xml:space="preserve">The core and DSU should be a contiguous region. The critical path is the 33×33</w:t>
      </w:r>
      <w:r>
        <w:t xml:space="preserve"> </w:t>
      </w:r>
      <w:r>
        <w:t xml:space="preserve">multiplier in series with the EX result multiplexer with the DSU in the same cone</w:t>
      </w:r>
      <w:r>
        <w:t xml:space="preserve"> </w:t>
      </w:r>
      <w:r>
        <w:t xml:space="preserve">(</w:t>
      </w:r>
      <w:r>
        <w:rPr>
          <w:rStyle w:val="VerbatimChar"/>
        </w:rPr>
        <w:t xml:space="preserve">GARUDA-CORE-SPEC-001</w:t>
      </w:r>
      <w:r>
        <w:t xml:space="preserve"> </w:t>
      </w:r>
      <w:r>
        <w:t xml:space="preserve">§7.9); routing that cone around a memory macro is how 4 ns becomes</w:t>
      </w:r>
      <w:r>
        <w:t xml:space="preserve"> </w:t>
      </w:r>
      <w:r>
        <w:t xml:space="preserve">unachievable.</w:t>
      </w:r>
    </w:p>
    <w:p>
      <w:pPr>
        <w:pStyle w:val="BodyText"/>
      </w:pPr>
      <w:r>
        <w:rPr>
          <w:bCs/>
          <w:b/>
        </w:rPr>
        <w:t xml:space="preserve">[N-6.3]</w:t>
      </w:r>
      <w:r>
        <w:t xml:space="preserve"> </w:t>
      </w:r>
      <w:r>
        <w:t xml:space="preserve">Memory area estimate, for floorplanning: 132 KiB of SRAM in 28 nm is roughly</w:t>
      </w:r>
      <w:r>
        <w:t xml:space="preserve"> </w:t>
      </w:r>
      <w:r>
        <w:t xml:space="preserve">0.25–0.40 mm² depending on the compiler’s density option, against 2.10 mm² of die. Memory is</w:t>
      </w:r>
      <w:r>
        <w:t xml:space="preserve"> </w:t>
      </w:r>
      <w:r>
        <w:t xml:space="preserve">12–19% of the die and the rest is logic and routing, so the floorplan is not</w:t>
      </w:r>
      <w:r>
        <w:t xml:space="preserve"> </w:t>
      </w:r>
      <w:r>
        <w:t xml:space="preserve">memory-dominated.</w:t>
      </w:r>
    </w:p>
    <w:p>
      <w:r>
        <w:pict>
          <v:rect style="width:0;height:1.5pt" o:hralign="center" o:hrstd="t" o:hr="t"/>
        </w:pict>
      </w:r>
    </w:p>
    <w:bookmarkEnd w:id="33"/>
    <w:bookmarkStart w:id="34" w:name="timing-closure-and-the-fallback"/>
    <w:p>
      <w:pPr>
        <w:pStyle w:val="Heading2"/>
      </w:pPr>
      <w:r>
        <w:t xml:space="preserve">7 Timing closure and the fallback</w:t>
      </w:r>
    </w:p>
    <w:p>
      <w:pPr>
        <w:pStyle w:val="FirstParagraph"/>
      </w:pPr>
      <w:r>
        <w:rPr>
          <w:bCs/>
          <w:b/>
        </w:rPr>
        <w:t xml:space="preserve">[N-7.1]</w:t>
      </w:r>
      <w:r>
        <w:t xml:space="preserve"> </w:t>
      </w:r>
      <w:r>
        <w:t xml:space="preserve">Target 250 MHz.</w:t>
      </w:r>
      <w:r>
        <w:t xml:space="preserve"> </w:t>
      </w:r>
      <w:r>
        <w:rPr>
          <w:bCs/>
          <w:b/>
        </w:rPr>
        <w:t xml:space="preserve">Closure is not asserted</w:t>
      </w:r>
      <w:r>
        <w:t xml:space="preserve"> </w:t>
      </w:r>
      <w:r>
        <w:t xml:space="preserve">by any document in this project.</w:t>
      </w:r>
    </w:p>
    <w:p>
      <w:pPr>
        <w:pStyle w:val="BodyText"/>
      </w:pPr>
      <w:r>
        <w:rPr>
          <w:bCs/>
          <w:b/>
        </w:rPr>
        <w:t xml:space="preserve">[N-7.2]</w:t>
      </w:r>
      <w:r>
        <w:t xml:space="preserve"> </w:t>
      </w:r>
      <w:r>
        <w:t xml:space="preserve">If closure fails, the recovery is</w:t>
      </w:r>
      <w:r>
        <w:t xml:space="preserve"> </w:t>
      </w:r>
      <w:r>
        <w:rPr>
          <w:rStyle w:val="VerbatimChar"/>
        </w:rPr>
        <w:t xml:space="preserve">DIVSEL</w:t>
      </w:r>
      <w:r>
        <w:t xml:space="preserve"> </w:t>
      </w:r>
      <w:r>
        <w:t xml:space="preserve">= 1 in</w:t>
      </w:r>
      <w:r>
        <w:t xml:space="preserve"> </w:t>
      </w:r>
      <w:r>
        <w:rPr>
          <w:rStyle w:val="VerbatimChar"/>
        </w:rPr>
        <w:t xml:space="preserve">clk_div</w:t>
      </w:r>
      <w:r>
        <w:t xml:space="preserve"> </w:t>
      </w:r>
      <w:r>
        <w:t xml:space="preserve">— DIV=4,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=</w:t>
      </w:r>
      <w:r>
        <w:t xml:space="preserve"> </w:t>
      </w:r>
      <w:r>
        <w:t xml:space="preserve">125 MHz,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= 62.5 MHz. This is a register default change, no RTL edit, no floorplan</w:t>
      </w:r>
      <w:r>
        <w:t xml:space="preserve"> </w:t>
      </w:r>
      <w:r>
        <w:t xml:space="preserve">change. The flight loop then has 125,000 cycles per iteration, which remains far more than</w:t>
      </w:r>
      <w:r>
        <w:t xml:space="preserve"> </w:t>
      </w:r>
      <w:r>
        <w:t xml:space="preserve">the workload needs.</w:t>
      </w:r>
    </w:p>
    <w:p>
      <w:pPr>
        <w:pStyle w:val="BodyText"/>
      </w:pPr>
      <w:r>
        <w:rPr>
          <w:bCs/>
          <w:b/>
        </w:rPr>
        <w:t xml:space="preserve">[N-7.3]</w:t>
      </w:r>
      <w:r>
        <w:t xml:space="preserve"> </w:t>
      </w:r>
      <w:r>
        <w:t xml:space="preserve">The fallback is stated in advance deliberately. A timing miss found during PD is a</w:t>
      </w:r>
      <w:r>
        <w:t xml:space="preserve"> </w:t>
      </w:r>
      <w:r>
        <w:t xml:space="preserve">schedule problem only if the recovery has to be invented at that point. Here it is a parameter</w:t>
      </w:r>
      <w:r>
        <w:t xml:space="preserve"> </w:t>
      </w:r>
      <w:r>
        <w:t xml:space="preserve">the PD engineer can apply without consulting anyone.</w:t>
      </w:r>
    </w:p>
    <w:p>
      <w:pPr>
        <w:pStyle w:val="BodyText"/>
      </w:pPr>
      <w:r>
        <w:rPr>
          <w:bCs/>
          <w:b/>
        </w:rPr>
        <w:t xml:space="preserve">[N-7.4]</w:t>
      </w:r>
      <w:r>
        <w:t xml:space="preserve"> </w:t>
      </w:r>
      <w:r>
        <w:t xml:space="preserve">Order of remedies, if 250 MHz is close but missing:</w:t>
      </w:r>
    </w:p>
    <w:p>
      <w:pPr>
        <w:numPr>
          <w:ilvl w:val="0"/>
          <w:numId w:val="1002"/>
        </w:numPr>
        <w:pStyle w:val="Compact"/>
      </w:pPr>
      <w:r>
        <w:t xml:space="preserve">Confirm the EX cone is not routed around a macro ([N-6.2]).</w:t>
      </w:r>
    </w:p>
    <w:p>
      <w:pPr>
        <w:numPr>
          <w:ilvl w:val="0"/>
          <w:numId w:val="1002"/>
        </w:numPr>
        <w:pStyle w:val="Compact"/>
      </w:pPr>
      <w:r>
        <w:t xml:space="preserve">Retime or pipeline the 33×33 multiplier — this changes the core and needs re-verification, so it is a last resort, not a first.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DIVSEL</w:t>
      </w:r>
      <w:r>
        <w:t xml:space="preserve"> </w:t>
      </w:r>
      <w:r>
        <w:t xml:space="preserve">= 1. Costs nothing functional.</w:t>
      </w:r>
    </w:p>
    <w:p>
      <w:pPr>
        <w:pStyle w:val="FirstParagraph"/>
      </w:pPr>
      <w:r>
        <w:rPr>
          <w:bCs/>
          <w:b/>
        </w:rPr>
        <w:t xml:space="preserve">[N-7.5]</w:t>
      </w:r>
      <w:r>
        <w:t xml:space="preserve"> </w:t>
      </w:r>
      <w:r>
        <w:t xml:space="preserve">Step 2 before step 3 only if there is a reason to want 250 MHz specifically.</w:t>
      </w:r>
      <w:r>
        <w:t xml:space="preserve"> </w:t>
      </w:r>
      <w:r>
        <w:t xml:space="preserve">There is no functional reason in this design; the only reason is the programme’s expectation</w:t>
      </w:r>
      <w:r>
        <w:t xml:space="preserve"> </w:t>
      </w:r>
      <w:r>
        <w:t xml:space="preserve">of the core’s performance.</w:t>
      </w:r>
    </w:p>
    <w:p>
      <w:r>
        <w:pict>
          <v:rect style="width:0;height:1.5pt" o:hralign="center" o:hrstd="t" o:hr="t"/>
        </w:pict>
      </w:r>
    </w:p>
    <w:bookmarkEnd w:id="34"/>
    <w:bookmarkStart w:id="35" w:name="board-level-requirements"/>
    <w:p>
      <w:pPr>
        <w:pStyle w:val="Heading2"/>
      </w:pPr>
      <w:r>
        <w:t xml:space="preserve">8 Board-level requirements</w:t>
      </w:r>
    </w:p>
    <w:p>
      <w:pPr>
        <w:pStyle w:val="FirstParagraph"/>
      </w:pPr>
      <w:r>
        <w:rPr>
          <w:bCs/>
          <w:b/>
        </w:rPr>
        <w:t xml:space="preserve">[N-8.1]</w:t>
      </w:r>
      <w:r>
        <w:t xml:space="preserve"> </w:t>
      </w:r>
      <w:r>
        <w:t xml:space="preserve">These are requirements on the board, arising from chip-level decisions. The board</w:t>
      </w:r>
      <w:r>
        <w:t xml:space="preserve"> </w:t>
      </w:r>
      <w:r>
        <w:t xml:space="preserve">designer needs them and would not find them in a block spec.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supply supervisor shall hold</w:t>
            </w:r>
            <w:r>
              <w:t xml:space="preserve"> </w:t>
            </w:r>
            <w:r>
              <w:rPr>
                <w:rStyle w:val="VerbatimChar"/>
              </w:rPr>
              <w:t xml:space="preserve">ext_rst_n</w:t>
            </w:r>
            <w:r>
              <w:t xml:space="preserve"> </w:t>
            </w:r>
            <w:r>
              <w:t xml:space="preserve">low until the core rail is stable. The chip has no analog power-on-reset.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500 MHz reference oscillator, 45–55% duty, ≤200 ps peak-to-peak jitter. Not a crystal — a driven XO or equivalent.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refclk</w:t>
            </w:r>
            <w:r>
              <w:t xml:space="preserve"> </w:t>
            </w:r>
            <w:r>
              <w:t xml:space="preserve">trace shall be short, impedance-controlled, with a continuous return path, and routed away from the PWM outputs.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ADR-0018, [N-4.4]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pull-ups sized at board level; the chip provides none.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[N-3.3]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boot_sel</w:t>
            </w:r>
            <w:r>
              <w:t xml:space="preserve"> </w:t>
            </w:r>
            <w:r>
              <w:t xml:space="preserve">may be left unconnected for flash boot; tie high for JTAG recovery.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[N-3.1]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ground-link radio is a board-level choice of one part — telemetry radio</w:t>
            </w:r>
            <w:r>
              <w:t xml:space="preserve"> </w:t>
            </w:r>
            <w:r>
              <w:rPr>
                <w:bCs/>
                <w:b/>
              </w:rPr>
              <w:t xml:space="preserve">or</w:t>
            </w:r>
            <w:r>
              <w:t xml:space="preserve"> </w:t>
            </w:r>
            <w:r>
              <w:t xml:space="preserve">LoRa — on</w:t>
            </w:r>
            <w:r>
              <w:t xml:space="preserve"> </w:t>
            </w:r>
            <w:r>
              <w:rPr>
                <w:rStyle w:val="VerbatimChar"/>
              </w:rPr>
              <w:t xml:space="preserve">uart1</w:t>
            </w:r>
            <w:r>
              <w:t xml:space="preserve">. The chip does not support both.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Sonar shall be an I²C part. The design has no UART available for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28-pin configuration there is no ESP-NOW mesh link.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flash and IMU share the SPI master bus with separate chip selects.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[N-3.5]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handoff-checklist"/>
    <w:p>
      <w:pPr>
        <w:pStyle w:val="Heading2"/>
      </w:pPr>
      <w:r>
        <w:t xml:space="preserve">9 Handoff checklist</w:t>
      </w:r>
    </w:p>
    <w:p>
      <w:pPr>
        <w:pStyle w:val="FirstParagraph"/>
      </w:pPr>
      <w:r>
        <w:rPr>
          <w:bCs/>
          <w:b/>
        </w:rPr>
        <w:t xml:space="preserve">[N-9.1]</w:t>
      </w:r>
      <w:r>
        <w:t xml:space="preserve"> </w:t>
      </w:r>
      <w:r>
        <w:t xml:space="preserve">For the GDSII package, in order: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whether supply pads are inside the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mentor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§2, [N-2.4]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ring per §3.1 (or §3.2 if item 1 says 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pad distribution per [N-4.1]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clkdiv_toggle_hclk</w:t>
            </w:r>
            <w:r>
              <w:t xml:space="preserve"> </w:t>
            </w:r>
            <w:r>
              <w:t xml:space="preserve">abutting the</w:t>
            </w:r>
            <w:r>
              <w:t xml:space="preserve"> </w:t>
            </w:r>
            <w:r>
              <w:rPr>
                <w:rStyle w:val="VerbatimChar"/>
              </w:rPr>
              <w:t xml:space="preserve">refclk</w:t>
            </w:r>
            <w:r>
              <w:t xml:space="preserve"> </w:t>
            </w:r>
            <w:r>
              <w:t xml:space="preserve">pad;</w:t>
            </w:r>
            <w:r>
              <w:t xml:space="preserve"> </w:t>
            </w:r>
            <w:r>
              <w:rPr>
                <w:rStyle w:val="VerbatimChar"/>
              </w:rPr>
              <w:t xml:space="preserve">refclk</w:t>
            </w:r>
            <w:r>
              <w:t xml:space="preserve"> </w:t>
            </w:r>
            <w:r>
              <w:t xml:space="preserve">fanout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§5.1, [N-5.8]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SDC per §5.2,</w:t>
            </w:r>
            <w:r>
              <w:t xml:space="preserve"> </w:t>
            </w:r>
            <w:r>
              <w:rPr>
                <w:bCs/>
                <w:b/>
              </w:rPr>
              <w:t xml:space="preserve">including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/</w:t>
            </w: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synchronous 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§5.2, [N-5.7]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+ DSU as a contiguous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[N-6.2]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WFI ICG checked at gate level for runt pulses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+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[N-5.8]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250 MHz misses, apply</w:t>
            </w:r>
            <w:r>
              <w:t xml:space="preserve"> </w:t>
            </w:r>
            <w:r>
              <w:rPr>
                <w:rStyle w:val="VerbatimChar"/>
              </w:rPr>
              <w:t xml:space="preserve">DIVSEL</w:t>
            </w:r>
            <w:r>
              <w:t xml:space="preserve"> </w:t>
            </w:r>
            <w:r>
              <w:t xml:space="preserve">= 1 rather than escalating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open-items"/>
    <w:p>
      <w:pPr>
        <w:pStyle w:val="Heading2"/>
      </w:pPr>
      <w:r>
        <w:t xml:space="preserve">10 Open items</w:t>
      </w:r>
    </w:p>
    <w:p>
      <w:pPr>
        <w:pStyle w:val="FirstParagraph"/>
      </w:pPr>
      <w:r>
        <w:rPr>
          <w:bCs/>
          <w:b/>
        </w:rPr>
        <w:t xml:space="preserve">[N-10.1]</w:t>
      </w:r>
      <w:r>
        <w:t xml:space="preserve"> </w:t>
      </w:r>
      <w:r>
        <w:t xml:space="preserve">One remains, and it is the only irreversible item in this project: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the assumption is wrong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supply pads inside the 40?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mentor, against the programme’s pad 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they are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: apply §3.2, additively, nothing moves. If they</w:t>
            </w:r>
            <w:r>
              <w:t xml:space="preserve"> </w:t>
            </w:r>
            <w:r>
              <w:rPr>
                <w:bCs/>
                <w:b/>
              </w:rPr>
              <w:t xml:space="preserve">are</w:t>
            </w:r>
            <w:r>
              <w:t xml:space="preserve">: the baseline is already correct. Either way the design is safe — which is why it was closed this way.</w:t>
            </w:r>
          </w:p>
        </w:tc>
      </w:tr>
    </w:tbl>
    <w:p>
      <w:pPr>
        <w:pStyle w:val="BodyText"/>
      </w:pPr>
      <w:r>
        <w:t xml:space="preserve">All other opens from the original eleven documents are closed. See</w:t>
      </w:r>
      <w:r>
        <w:t xml:space="preserve"> </w:t>
      </w:r>
      <w:r>
        <w:rPr>
          <w:rStyle w:val="VerbatimChar"/>
        </w:rPr>
        <w:t xml:space="preserve">GARUDA-ADR-001</w:t>
      </w:r>
      <w:r>
        <w:t xml:space="preserve"> </w:t>
      </w:r>
      <w:r>
        <w:t xml:space="preserve">“</w:t>
      </w:r>
      <w:r>
        <w:t xml:space="preserve">Open items — all closed.</w:t>
      </w:r>
      <w:r>
        <w:t xml:space="preserve">”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2026-09-17T20:55:20Z</dcterms:created>
  <dcterms:modified xsi:type="dcterms:W3CDTF">2026-09-17T20:55:20Z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