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59755C"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59755C"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59755C"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59755C"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59755C"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w:t>
      </w:r>
      <w:proofErr w:type="spellStart"/>
      <w:r w:rsidR="0059755C" w:rsidRPr="008B2DF6">
        <w:rPr>
          <w:rFonts w:ascii="Consolas" w:eastAsia="Times New Roman" w:hAnsi="Consolas" w:cs="Times New Roman"/>
          <w:color w:val="000000"/>
          <w:sz w:val="27"/>
          <w:szCs w:val="27"/>
          <w:lang w:eastAsia="en-IN"/>
        </w:rPr>
        <w:t>responseType</w:t>
      </w:r>
      <w:proofErr w:type="spellEnd"/>
      <w:r w:rsidR="0059755C" w:rsidRPr="008B2DF6">
        <w:rPr>
          <w:rFonts w:ascii="Consolas" w:eastAsia="Times New Roman" w:hAnsi="Consolas" w:cs="Times New Roman"/>
          <w:color w:val="000000"/>
          <w:sz w:val="27"/>
          <w:szCs w:val="27"/>
          <w:lang w:eastAsia="en-IN"/>
        </w:rPr>
        <w:t>:</w:t>
      </w:r>
      <w:r w:rsidR="0059755C">
        <w:rPr>
          <w:rFonts w:ascii="Consolas" w:eastAsia="Times New Roman" w:hAnsi="Consolas" w:cs="Times New Roman"/>
          <w:color w:val="A31515"/>
          <w:sz w:val="27"/>
          <w:szCs w:val="27"/>
          <w:lang w:eastAsia="en-IN"/>
        </w:rPr>
        <w:t>'</w:t>
      </w:r>
      <w:proofErr w:type="spellStart"/>
      <w:r w:rsidR="0059755C">
        <w:rPr>
          <w:rFonts w:ascii="Consolas" w:eastAsia="Times New Roman" w:hAnsi="Consolas" w:cs="Times New Roman"/>
          <w:color w:val="A31515"/>
          <w:sz w:val="27"/>
          <w:szCs w:val="27"/>
          <w:lang w:eastAsia="en-IN"/>
        </w:rPr>
        <w:t>json</w:t>
      </w:r>
      <w:proofErr w:type="spellEnd"/>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bookmarkStart w:id="0" w:name="_GoBack"/>
      <w:bookmarkEnd w:id="0"/>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3D5DF0" w:rsidRDefault="0059755C"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F27EA"/>
    <w:rsid w:val="008007A5"/>
    <w:rsid w:val="008014A4"/>
    <w:rsid w:val="008017A8"/>
    <w:rsid w:val="00811326"/>
    <w:rsid w:val="00812DC4"/>
    <w:rsid w:val="00831907"/>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1280"/>
    <w:rsid w:val="00B43909"/>
    <w:rsid w:val="00B46702"/>
    <w:rsid w:val="00B5356A"/>
    <w:rsid w:val="00B60EC8"/>
    <w:rsid w:val="00B6138B"/>
    <w:rsid w:val="00B73923"/>
    <w:rsid w:val="00B92552"/>
    <w:rsid w:val="00BB59EA"/>
    <w:rsid w:val="00BB7DDC"/>
    <w:rsid w:val="00BC2E0A"/>
    <w:rsid w:val="00BC37B6"/>
    <w:rsid w:val="00BC3BE5"/>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5557</TotalTime>
  <Pages>91</Pages>
  <Words>8731</Words>
  <Characters>49771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944</cp:revision>
  <dcterms:created xsi:type="dcterms:W3CDTF">2021-03-05T15:36:00Z</dcterms:created>
  <dcterms:modified xsi:type="dcterms:W3CDTF">2021-04-20T16:10:00Z</dcterms:modified>
</cp:coreProperties>
</file>