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1E0014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1E0014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1E0014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1E0014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1E0014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1E0014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ng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tdf-login.html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mdf-login.html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html(view)-------------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service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checkLogin()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logic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: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(template)-----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ng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IOC :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: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Pre-defined Service :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: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language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get(),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Fetch(“”)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Then()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: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: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Subscribe :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Operator :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D5FE4">
        <w:rPr>
          <w:rFonts w:ascii="Courier New" w:hAnsi="Courier New" w:cs="Courier New"/>
          <w:sz w:val="28"/>
          <w:szCs w:val="28"/>
          <w:highlight w:val="yellow"/>
        </w:rPr>
        <w:t>node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this.http.get(“URL”)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this.http.post</w:t>
      </w:r>
      <w:r>
        <w:rPr>
          <w:rFonts w:ascii="Courier New" w:hAnsi="Courier New" w:cs="Courier New"/>
          <w:sz w:val="28"/>
          <w:szCs w:val="28"/>
        </w:rPr>
        <w:t>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this.http.put</w:t>
      </w:r>
      <w:r>
        <w:rPr>
          <w:rFonts w:ascii="Courier New" w:hAnsi="Courier New" w:cs="Courier New"/>
          <w:sz w:val="28"/>
          <w:szCs w:val="28"/>
        </w:rPr>
        <w:t>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this.http.delete</w:t>
      </w:r>
      <w:r>
        <w:rPr>
          <w:rFonts w:ascii="Courier New" w:hAnsi="Courier New" w:cs="Courier New"/>
          <w:sz w:val="28"/>
          <w:szCs w:val="28"/>
        </w:rPr>
        <w:t>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8F5ADE">
        <w:rPr>
          <w:rFonts w:ascii="Courier New" w:hAnsi="Courier New" w:cs="Courier New"/>
          <w:b/>
          <w:sz w:val="28"/>
          <w:szCs w:val="28"/>
        </w:rPr>
        <w:t xml:space="preserve">npm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8F5ADE">
        <w:rPr>
          <w:rFonts w:ascii="Courier New" w:hAnsi="Courier New" w:cs="Courier New"/>
          <w:sz w:val="28"/>
          <w:szCs w:val="28"/>
          <w:highlight w:val="yellow"/>
        </w:rPr>
        <w:t>nodemon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F465D5">
        <w:rPr>
          <w:rFonts w:ascii="Courier New" w:hAnsi="Courier New" w:cs="Courier New"/>
          <w:b/>
          <w:sz w:val="28"/>
          <w:szCs w:val="28"/>
        </w:rPr>
        <w:lastRenderedPageBreak/>
        <w:t xml:space="preserve">backend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: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getAppProject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getProjectById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storeProjectDetails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updateProjectInfo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deleteProjectInfo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t xml:space="preserve">ng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lastRenderedPageBreak/>
        <w:t xml:space="preserve">ng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CORS :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A486A">
        <w:rPr>
          <w:rFonts w:ascii="Courier New" w:hAnsi="Courier New" w:cs="Courier New"/>
          <w:sz w:val="28"/>
          <w:szCs w:val="28"/>
          <w:highlight w:val="yellow"/>
        </w:rPr>
        <w:t>ng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ng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076F9" w:rsidRPr="005C0713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sectPr w:rsidR="00B076F9" w:rsidRPr="005C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3"/>
  </w:num>
  <w:num w:numId="4">
    <w:abstractNumId w:val="18"/>
  </w:num>
  <w:num w:numId="5">
    <w:abstractNumId w:val="11"/>
  </w:num>
  <w:num w:numId="6">
    <w:abstractNumId w:val="21"/>
  </w:num>
  <w:num w:numId="7">
    <w:abstractNumId w:val="16"/>
  </w:num>
  <w:num w:numId="8">
    <w:abstractNumId w:val="17"/>
  </w:num>
  <w:num w:numId="9">
    <w:abstractNumId w:val="22"/>
  </w:num>
  <w:num w:numId="10">
    <w:abstractNumId w:val="5"/>
  </w:num>
  <w:num w:numId="11">
    <w:abstractNumId w:val="20"/>
  </w:num>
  <w:num w:numId="12">
    <w:abstractNumId w:val="4"/>
  </w:num>
  <w:num w:numId="13">
    <w:abstractNumId w:val="10"/>
  </w:num>
  <w:num w:numId="14">
    <w:abstractNumId w:val="19"/>
  </w:num>
  <w:num w:numId="15">
    <w:abstractNumId w:val="0"/>
  </w:num>
  <w:num w:numId="16">
    <w:abstractNumId w:val="26"/>
  </w:num>
  <w:num w:numId="17">
    <w:abstractNumId w:val="3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24"/>
  </w:num>
  <w:num w:numId="24">
    <w:abstractNumId w:val="15"/>
  </w:num>
  <w:num w:numId="25">
    <w:abstractNumId w:val="9"/>
  </w:num>
  <w:num w:numId="26">
    <w:abstractNumId w:val="1"/>
  </w:num>
  <w:num w:numId="27">
    <w:abstractNumId w:val="28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2E7246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79C4"/>
    <w:rsid w:val="00885B0B"/>
    <w:rsid w:val="008967EE"/>
    <w:rsid w:val="008A04F8"/>
    <w:rsid w:val="008C0E7A"/>
    <w:rsid w:val="008D21B9"/>
    <w:rsid w:val="008F028B"/>
    <w:rsid w:val="008F2EB0"/>
    <w:rsid w:val="008F3469"/>
    <w:rsid w:val="008F5ADE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076F9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113</Pages>
  <Words>8683</Words>
  <Characters>49496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715</cp:revision>
  <dcterms:created xsi:type="dcterms:W3CDTF">2021-06-15T03:44:00Z</dcterms:created>
  <dcterms:modified xsi:type="dcterms:W3CDTF">2021-07-12T07:51:00Z</dcterms:modified>
</cp:coreProperties>
</file>