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7AB0" w14:textId="5C9DF259" w:rsidR="00D4460E" w:rsidRPr="001917A3" w:rsidRDefault="00D4460E" w:rsidP="00D4460E">
      <w:pPr>
        <w:rPr>
          <w:rFonts w:ascii="Cambria" w:hAnsi="Cambria"/>
          <w:b/>
          <w:bCs/>
        </w:rPr>
      </w:pPr>
    </w:p>
    <w:p w14:paraId="27120FDE" w14:textId="7EA359EA" w:rsidR="001917A3" w:rsidRPr="001917A3" w:rsidRDefault="001917A3" w:rsidP="001917A3">
      <w:pPr>
        <w:rPr>
          <w:rFonts w:ascii="Cambria" w:hAnsi="Cambria"/>
          <w:b/>
          <w:bCs/>
        </w:rPr>
      </w:pPr>
      <w:r w:rsidRPr="001917A3">
        <w:rPr>
          <w:rFonts w:ascii="Cambria" w:hAnsi="Cambria"/>
          <w:b/>
          <w:bCs/>
        </w:rPr>
        <w:t xml:space="preserve"> Research questions</w:t>
      </w:r>
    </w:p>
    <w:p w14:paraId="06A6794F" w14:textId="73AAEE7F" w:rsidR="001917A3" w:rsidRPr="001917A3" w:rsidRDefault="001917A3" w:rsidP="001917A3">
      <w:pPr>
        <w:ind w:left="720"/>
        <w:rPr>
          <w:rFonts w:ascii="Cambria" w:hAnsi="Cambria"/>
        </w:rPr>
      </w:pPr>
      <w:r w:rsidRPr="001917A3">
        <w:rPr>
          <w:rFonts w:ascii="Cambria" w:hAnsi="Cambria"/>
        </w:rPr>
        <w:t>Q1: How does switching the financial-responsibility regime from flat-fee public insurance to risk-rated private insurance change firm behavior on tank closure, replacement, and confirmed-release outcomes?</w:t>
      </w:r>
    </w:p>
    <w:p w14:paraId="290E3908" w14:textId="0D76E6D0" w:rsidR="001917A3" w:rsidRPr="001917A3" w:rsidRDefault="001917A3" w:rsidP="001917A3">
      <w:pPr>
        <w:ind w:left="720"/>
        <w:rPr>
          <w:rFonts w:ascii="Cambria" w:hAnsi="Cambria"/>
        </w:rPr>
      </w:pPr>
      <w:r w:rsidRPr="001917A3">
        <w:rPr>
          <w:rFonts w:ascii="Cambria" w:hAnsi="Cambria"/>
        </w:rPr>
        <w:t xml:space="preserve">Q2: How much of the first-best social welfare </w:t>
      </w:r>
      <w:proofErr w:type="gramStart"/>
      <w:r w:rsidRPr="001917A3">
        <w:rPr>
          <w:rFonts w:ascii="Cambria" w:hAnsi="Cambria"/>
        </w:rPr>
        <w:t>gain does</w:t>
      </w:r>
      <w:proofErr w:type="gramEnd"/>
      <w:r w:rsidRPr="001917A3">
        <w:rPr>
          <w:rFonts w:ascii="Cambria" w:hAnsi="Cambria"/>
        </w:rPr>
        <w:t xml:space="preserve"> the risk-rated regime </w:t>
      </w:r>
      <w:proofErr w:type="gramStart"/>
      <w:r w:rsidRPr="001917A3">
        <w:rPr>
          <w:rFonts w:ascii="Cambria" w:hAnsi="Cambria"/>
        </w:rPr>
        <w:t>capture</w:t>
      </w:r>
      <w:proofErr w:type="gramEnd"/>
      <w:r w:rsidRPr="001917A3">
        <w:rPr>
          <w:rFonts w:ascii="Cambria" w:hAnsi="Cambria"/>
        </w:rPr>
        <w:t xml:space="preserve">, and what determines the residual gap to </w:t>
      </w:r>
      <w:proofErr w:type="gramStart"/>
      <w:r w:rsidRPr="001917A3">
        <w:rPr>
          <w:rFonts w:ascii="Cambria" w:hAnsi="Cambria"/>
        </w:rPr>
        <w:t>first-best</w:t>
      </w:r>
      <w:proofErr w:type="gramEnd"/>
      <w:r w:rsidRPr="001917A3">
        <w:rPr>
          <w:rFonts w:ascii="Cambria" w:hAnsi="Cambria"/>
        </w:rPr>
        <w:t>?</w:t>
      </w:r>
    </w:p>
    <w:p w14:paraId="0D103041" w14:textId="7B7D74F0" w:rsidR="001917A3" w:rsidRPr="001917A3" w:rsidRDefault="001917A3" w:rsidP="001917A3">
      <w:pPr>
        <w:numPr>
          <w:ilvl w:val="0"/>
          <w:numId w:val="4"/>
        </w:numPr>
        <w:rPr>
          <w:rFonts w:ascii="Cambria" w:hAnsi="Cambria"/>
        </w:rPr>
      </w:pPr>
      <w:r w:rsidRPr="001917A3">
        <w:rPr>
          <w:rFonts w:ascii="Cambria" w:hAnsi="Cambria"/>
          <w:b/>
          <w:bCs/>
        </w:rPr>
        <w:t>The Goal:</w:t>
      </w:r>
      <w:r w:rsidRPr="001917A3">
        <w:rPr>
          <w:rFonts w:ascii="Cambria" w:hAnsi="Cambria"/>
        </w:rPr>
        <w:t xml:space="preserve"> Connect the two </w:t>
      </w:r>
      <w:r w:rsidR="00AC5CCD">
        <w:rPr>
          <w:rFonts w:ascii="Cambria" w:hAnsi="Cambria"/>
        </w:rPr>
        <w:t xml:space="preserve">theories </w:t>
      </w:r>
      <w:r w:rsidRPr="001917A3">
        <w:rPr>
          <w:rFonts w:ascii="Cambria" w:hAnsi="Cambria"/>
        </w:rPr>
        <w:t xml:space="preserve"> to make a </w:t>
      </w:r>
      <w:r w:rsidRPr="001917A3">
        <w:rPr>
          <w:rFonts w:ascii="Cambria" w:hAnsi="Cambria"/>
        </w:rPr>
        <w:t xml:space="preserve">clear </w:t>
      </w:r>
      <w:r w:rsidRPr="001917A3">
        <w:rPr>
          <w:rFonts w:ascii="Cambria" w:hAnsi="Cambria"/>
        </w:rPr>
        <w:t xml:space="preserve">welfare statement about a mandated insurance instrument using the Texas </w:t>
      </w:r>
      <w:r w:rsidR="00AC5CCD">
        <w:rPr>
          <w:rFonts w:ascii="Cambria" w:hAnsi="Cambria"/>
        </w:rPr>
        <w:t xml:space="preserve">private marked risk rated </w:t>
      </w:r>
      <w:r w:rsidRPr="001917A3">
        <w:rPr>
          <w:rFonts w:ascii="Cambria" w:hAnsi="Cambria"/>
        </w:rPr>
        <w:t>transition as the empirical setting.</w:t>
      </w:r>
    </w:p>
    <w:p w14:paraId="24EF5803" w14:textId="4DF21956" w:rsidR="001917A3" w:rsidRPr="001917A3" w:rsidRDefault="001917A3" w:rsidP="00D4460E">
      <w:pPr>
        <w:numPr>
          <w:ilvl w:val="0"/>
          <w:numId w:val="4"/>
        </w:numPr>
        <w:rPr>
          <w:rFonts w:ascii="Cambria" w:hAnsi="Cambria"/>
        </w:rPr>
      </w:pPr>
      <w:r w:rsidRPr="001917A3">
        <w:rPr>
          <w:rFonts w:ascii="Cambria" w:hAnsi="Cambria"/>
          <w:b/>
          <w:bCs/>
        </w:rPr>
        <w:t>The Integration:</w:t>
      </w:r>
      <w:r w:rsidRPr="001917A3">
        <w:rPr>
          <w:rFonts w:ascii="Cambria" w:hAnsi="Cambria"/>
        </w:rPr>
        <w:t xml:space="preserve"> Shavell establishes which instrument class is appropriate and why it is necessary. Diamond dictates how much welfare that instrument can reach when its conditioning set remains incomplete.</w:t>
      </w:r>
    </w:p>
    <w:p w14:paraId="21178F9A" w14:textId="4AB52E5A" w:rsidR="00D4460E" w:rsidRPr="001917A3" w:rsidRDefault="00D4460E" w:rsidP="00D4460E">
      <w:pPr>
        <w:rPr>
          <w:rFonts w:ascii="Cambria" w:hAnsi="Cambria"/>
        </w:rPr>
      </w:pPr>
      <w:r w:rsidRPr="001917A3">
        <w:rPr>
          <w:rFonts w:ascii="Cambria" w:hAnsi="Cambria"/>
          <w:b/>
          <w:bCs/>
        </w:rPr>
        <w:t>1. Shavell</w:t>
      </w:r>
      <w:r w:rsidRPr="001917A3">
        <w:rPr>
          <w:rFonts w:ascii="Cambria" w:hAnsi="Cambria"/>
          <w:b/>
          <w:bCs/>
        </w:rPr>
        <w:t xml:space="preserve"> ( 1982,1986,2007)</w:t>
      </w:r>
      <w:r w:rsidRPr="001917A3">
        <w:rPr>
          <w:rFonts w:ascii="Cambria" w:hAnsi="Cambria"/>
          <w:b/>
          <w:bCs/>
        </w:rPr>
        <w:t xml:space="preserve"> and Instrument Choice</w:t>
      </w:r>
    </w:p>
    <w:p w14:paraId="1FECBC5F" w14:textId="77777777" w:rsidR="00D4460E" w:rsidRPr="001917A3" w:rsidRDefault="00D4460E" w:rsidP="00D4460E">
      <w:pPr>
        <w:numPr>
          <w:ilvl w:val="0"/>
          <w:numId w:val="1"/>
        </w:numPr>
        <w:rPr>
          <w:rFonts w:ascii="Cambria" w:hAnsi="Cambria"/>
        </w:rPr>
      </w:pPr>
      <w:r w:rsidRPr="001917A3">
        <w:rPr>
          <w:rFonts w:ascii="Cambria" w:hAnsi="Cambria"/>
          <w:b/>
          <w:bCs/>
        </w:rPr>
        <w:t>The Theoretical Problem:</w:t>
      </w:r>
      <w:r w:rsidRPr="001917A3">
        <w:rPr>
          <w:rFonts w:ascii="Cambria" w:hAnsi="Cambria"/>
        </w:rPr>
        <w:t xml:space="preserve"> Strict liability fails when an injurer's assets are less than the social cost of harm. These judgment-proof firms face weakened incentives to take optimal care.</w:t>
      </w:r>
    </w:p>
    <w:p w14:paraId="58034F8B" w14:textId="77777777" w:rsidR="00D4460E" w:rsidRPr="001917A3" w:rsidRDefault="00D4460E" w:rsidP="00D4460E">
      <w:pPr>
        <w:numPr>
          <w:ilvl w:val="0"/>
          <w:numId w:val="1"/>
        </w:numPr>
        <w:rPr>
          <w:rFonts w:ascii="Cambria" w:hAnsi="Cambria"/>
        </w:rPr>
      </w:pPr>
      <w:r w:rsidRPr="001917A3">
        <w:rPr>
          <w:rFonts w:ascii="Cambria" w:hAnsi="Cambria"/>
          <w:b/>
          <w:bCs/>
        </w:rPr>
        <w:t>The Mechanism:</w:t>
      </w:r>
      <w:r w:rsidRPr="001917A3">
        <w:rPr>
          <w:rFonts w:ascii="Cambria" w:hAnsi="Cambria"/>
        </w:rPr>
        <w:t xml:space="preserve"> Compulsory insurance restores </w:t>
      </w:r>
      <w:proofErr w:type="gramStart"/>
      <w:r w:rsidRPr="001917A3">
        <w:rPr>
          <w:rFonts w:ascii="Cambria" w:hAnsi="Cambria"/>
        </w:rPr>
        <w:t>these care</w:t>
      </w:r>
      <w:proofErr w:type="gramEnd"/>
      <w:r w:rsidRPr="001917A3">
        <w:rPr>
          <w:rFonts w:ascii="Cambria" w:hAnsi="Cambria"/>
        </w:rPr>
        <w:t xml:space="preserve"> incentives provided the insurer can observe care-relevant attributes. Under these conditions, mandatory insurance dominates pure bonding or asset requirements.</w:t>
      </w:r>
    </w:p>
    <w:p w14:paraId="120F68D5" w14:textId="77777777" w:rsidR="00D4460E" w:rsidRPr="001917A3" w:rsidRDefault="00D4460E" w:rsidP="00D4460E">
      <w:pPr>
        <w:numPr>
          <w:ilvl w:val="0"/>
          <w:numId w:val="1"/>
        </w:numPr>
        <w:rPr>
          <w:rFonts w:ascii="Cambria" w:hAnsi="Cambria"/>
        </w:rPr>
      </w:pPr>
      <w:r w:rsidRPr="001917A3">
        <w:rPr>
          <w:rFonts w:ascii="Cambria" w:hAnsi="Cambria"/>
          <w:b/>
          <w:bCs/>
        </w:rPr>
        <w:t>The Empirical Contribution:</w:t>
      </w:r>
      <w:r w:rsidRPr="001917A3">
        <w:rPr>
          <w:rFonts w:ascii="Cambria" w:hAnsi="Cambria"/>
        </w:rPr>
        <w:t xml:space="preserve"> This paper serves as the first firm-level empirical test of the insurance contract side of this literature. It isolates the pure pricing channel of a mandatory insurance instrument. This distinguishes the work from Boomhower (2019) and Ho et al. (2018), which focus on the asset requirement and bonding side. Furthermore, using </w:t>
      </w:r>
      <w:proofErr w:type="gramStart"/>
      <w:r w:rsidRPr="001917A3">
        <w:rPr>
          <w:rFonts w:ascii="Cambria" w:hAnsi="Cambria"/>
        </w:rPr>
        <w:t>a sharp</w:t>
      </w:r>
      <w:proofErr w:type="gramEnd"/>
      <w:r w:rsidRPr="001917A3">
        <w:rPr>
          <w:rFonts w:ascii="Cambria" w:hAnsi="Cambria"/>
        </w:rPr>
        <w:t xml:space="preserve"> fiscal discontinuity as the identifying event resolves the omitted variable bias and research design limitations found in earlier underground storage tank literature like Yin et al.</w:t>
      </w:r>
    </w:p>
    <w:p w14:paraId="743564FB" w14:textId="77777777" w:rsidR="00D4460E" w:rsidRPr="001917A3" w:rsidRDefault="00D4460E" w:rsidP="00D4460E">
      <w:pPr>
        <w:rPr>
          <w:rFonts w:ascii="Cambria" w:hAnsi="Cambria"/>
        </w:rPr>
      </w:pPr>
      <w:r w:rsidRPr="001917A3">
        <w:rPr>
          <w:rFonts w:ascii="Cambria" w:hAnsi="Cambria"/>
          <w:b/>
          <w:bCs/>
        </w:rPr>
        <w:t>2. Diamond (1973) and Instrument Efficiency</w:t>
      </w:r>
    </w:p>
    <w:p w14:paraId="3F6FD477" w14:textId="77777777" w:rsidR="00D4460E" w:rsidRPr="001917A3" w:rsidRDefault="00D4460E" w:rsidP="00D4460E">
      <w:pPr>
        <w:numPr>
          <w:ilvl w:val="0"/>
          <w:numId w:val="2"/>
        </w:numPr>
        <w:rPr>
          <w:rFonts w:ascii="Cambria" w:hAnsi="Cambria"/>
        </w:rPr>
      </w:pPr>
      <w:r w:rsidRPr="001917A3">
        <w:rPr>
          <w:rFonts w:ascii="Cambria" w:hAnsi="Cambria"/>
          <w:b/>
          <w:bCs/>
        </w:rPr>
        <w:t>The Theoretical Benchmark:</w:t>
      </w:r>
      <w:r w:rsidRPr="001917A3">
        <w:rPr>
          <w:rFonts w:ascii="Cambria" w:hAnsi="Cambria"/>
        </w:rPr>
        <w:t xml:space="preserve"> When an instrument can only condition on a subset of damage-relevant attributes, the optimal second-best policy is a weighted average of heterogeneous Pigouvian taxes across types. The weights are determined by the price elasticities of demand because a given price change alters the behavior of more elastic types more heavily.</w:t>
      </w:r>
    </w:p>
    <w:p w14:paraId="4036A6A2" w14:textId="77777777" w:rsidR="00D4460E" w:rsidRPr="001917A3" w:rsidRDefault="00D4460E" w:rsidP="00D4460E">
      <w:pPr>
        <w:numPr>
          <w:ilvl w:val="0"/>
          <w:numId w:val="2"/>
        </w:numPr>
        <w:rPr>
          <w:rFonts w:ascii="Cambria" w:hAnsi="Cambria"/>
        </w:rPr>
      </w:pPr>
      <w:r w:rsidRPr="001917A3">
        <w:rPr>
          <w:rFonts w:ascii="Cambria" w:hAnsi="Cambria"/>
          <w:b/>
          <w:bCs/>
        </w:rPr>
        <w:lastRenderedPageBreak/>
        <w:t>The Welfare Gap:</w:t>
      </w:r>
      <w:r w:rsidRPr="001917A3">
        <w:rPr>
          <w:rFonts w:ascii="Cambria" w:hAnsi="Cambria"/>
        </w:rPr>
        <w:t xml:space="preserve"> The policy is welfare-improving relative to no </w:t>
      </w:r>
      <w:proofErr w:type="gramStart"/>
      <w:r w:rsidRPr="001917A3">
        <w:rPr>
          <w:rFonts w:ascii="Cambria" w:hAnsi="Cambria"/>
        </w:rPr>
        <w:t>policy, but</w:t>
      </w:r>
      <w:proofErr w:type="gramEnd"/>
      <w:r w:rsidRPr="001917A3">
        <w:rPr>
          <w:rFonts w:ascii="Cambria" w:hAnsi="Cambria"/>
        </w:rPr>
        <w:t xml:space="preserve"> falls short of the first-best optimum. The residual gap depends on how well the priced dimensions cover full marginal social damage.</w:t>
      </w:r>
    </w:p>
    <w:p w14:paraId="0BA360AF" w14:textId="77777777" w:rsidR="00D4460E" w:rsidRPr="001917A3" w:rsidRDefault="00D4460E" w:rsidP="00D4460E">
      <w:pPr>
        <w:numPr>
          <w:ilvl w:val="0"/>
          <w:numId w:val="2"/>
        </w:numPr>
        <w:rPr>
          <w:rFonts w:ascii="Cambria" w:hAnsi="Cambria"/>
        </w:rPr>
      </w:pPr>
      <w:r w:rsidRPr="001917A3">
        <w:rPr>
          <w:rFonts w:ascii="Cambria" w:hAnsi="Cambria"/>
          <w:b/>
          <w:bCs/>
        </w:rPr>
        <w:t>The Empirical Match:</w:t>
      </w:r>
      <w:r w:rsidRPr="001917A3">
        <w:rPr>
          <w:rFonts w:ascii="Cambria" w:hAnsi="Cambria"/>
        </w:rPr>
        <w:t xml:space="preserve"> Control states utilizing a flat-fee fund with uniform premiums represent Diamond's unweighted instrument. The Texas post-1999 transition to risk-rated premiums conditions on age, wall type, and piping. Moving from a uniform to a risk-rated premium represents a direct move toward the Diamond second-best optimum because the instrument now targets the appropriate types more heavily based on damage-relevant attributes.</w:t>
      </w:r>
    </w:p>
    <w:p w14:paraId="16F25005" w14:textId="77777777" w:rsidR="001917A3" w:rsidRPr="001917A3" w:rsidRDefault="001917A3" w:rsidP="001917A3">
      <w:pPr>
        <w:rPr>
          <w:rFonts w:ascii="Cambria" w:hAnsi="Cambria"/>
        </w:rPr>
      </w:pPr>
    </w:p>
    <w:p w14:paraId="15C0C629" w14:textId="77777777" w:rsidR="00D4460E" w:rsidRPr="001917A3" w:rsidRDefault="00D4460E" w:rsidP="00D4460E">
      <w:pPr>
        <w:rPr>
          <w:rFonts w:ascii="Cambria" w:hAnsi="Cambria"/>
        </w:rPr>
      </w:pPr>
      <w:r w:rsidRPr="001917A3">
        <w:rPr>
          <w:rFonts w:ascii="Cambria" w:hAnsi="Cambria"/>
          <w:b/>
          <w:bCs/>
        </w:rPr>
        <w:t>3. The Liability vs. Externality Gap</w:t>
      </w:r>
    </w:p>
    <w:p w14:paraId="1F7EC94B" w14:textId="68F49978" w:rsidR="00D4460E" w:rsidRPr="001917A3" w:rsidRDefault="00D4460E" w:rsidP="00D4460E">
      <w:pPr>
        <w:numPr>
          <w:ilvl w:val="0"/>
          <w:numId w:val="3"/>
        </w:numPr>
        <w:rPr>
          <w:rFonts w:ascii="Cambria" w:hAnsi="Cambria"/>
        </w:rPr>
      </w:pPr>
      <w:r w:rsidRPr="001917A3">
        <w:rPr>
          <w:rFonts w:ascii="Cambria" w:hAnsi="Cambria"/>
          <w:b/>
          <w:bCs/>
        </w:rPr>
        <w:t>The Limitation:</w:t>
      </w:r>
      <w:r w:rsidRPr="001917A3">
        <w:rPr>
          <w:rFonts w:ascii="Cambria" w:hAnsi="Cambria"/>
        </w:rPr>
        <w:t xml:space="preserve"> The risk-rated regime is </w:t>
      </w:r>
      <w:proofErr w:type="gramStart"/>
      <w:r w:rsidRPr="001917A3">
        <w:rPr>
          <w:rFonts w:ascii="Cambria" w:hAnsi="Cambria"/>
        </w:rPr>
        <w:t>a second</w:t>
      </w:r>
      <w:proofErr w:type="gramEnd"/>
      <w:r w:rsidRPr="001917A3">
        <w:rPr>
          <w:rFonts w:ascii="Cambria" w:hAnsi="Cambria"/>
        </w:rPr>
        <w:t xml:space="preserve">-best instrument that targets only a subset of true social </w:t>
      </w:r>
      <w:proofErr w:type="gramStart"/>
      <w:r w:rsidRPr="001917A3">
        <w:rPr>
          <w:rFonts w:ascii="Cambria" w:hAnsi="Cambria"/>
        </w:rPr>
        <w:t>damages</w:t>
      </w:r>
      <w:proofErr w:type="gramEnd"/>
      <w:r w:rsidRPr="001917A3">
        <w:rPr>
          <w:rFonts w:ascii="Cambria" w:hAnsi="Cambria"/>
        </w:rPr>
        <w:t>.</w:t>
      </w:r>
    </w:p>
    <w:p w14:paraId="5DFD1723" w14:textId="77777777" w:rsidR="00D4460E" w:rsidRPr="001917A3" w:rsidRDefault="00D4460E" w:rsidP="00D4460E">
      <w:pPr>
        <w:numPr>
          <w:ilvl w:val="0"/>
          <w:numId w:val="3"/>
        </w:numPr>
        <w:rPr>
          <w:rFonts w:ascii="Cambria" w:hAnsi="Cambria"/>
        </w:rPr>
      </w:pPr>
      <w:r w:rsidRPr="001917A3">
        <w:rPr>
          <w:rFonts w:ascii="Cambria" w:hAnsi="Cambria"/>
          <w:b/>
          <w:bCs/>
        </w:rPr>
        <w:t>The Mechanism:</w:t>
      </w:r>
      <w:r w:rsidRPr="001917A3">
        <w:rPr>
          <w:rFonts w:ascii="Cambria" w:hAnsi="Cambria"/>
        </w:rPr>
        <w:t xml:space="preserve"> Insurance premiums are built entirely on liability and cleanup costs. These represent the financial risks that generate claims. They do not internalize broader health or environmental externalities, which do not flow through the claims system.</w:t>
      </w:r>
    </w:p>
    <w:p w14:paraId="1A8D9075" w14:textId="77777777" w:rsidR="00D4460E" w:rsidRPr="001917A3" w:rsidRDefault="00D4460E" w:rsidP="00D4460E">
      <w:pPr>
        <w:rPr>
          <w:rFonts w:ascii="Cambria" w:hAnsi="Cambria"/>
        </w:rPr>
      </w:pPr>
      <w:r w:rsidRPr="001917A3">
        <w:rPr>
          <w:rFonts w:ascii="Cambria" w:hAnsi="Cambria"/>
          <w:b/>
          <w:bCs/>
        </w:rPr>
        <w:t>5. The Role of the Structural Model</w:t>
      </w:r>
    </w:p>
    <w:p w14:paraId="43EB9D4A" w14:textId="77777777" w:rsidR="00D4460E" w:rsidRPr="001917A3" w:rsidRDefault="00D4460E" w:rsidP="00D4460E">
      <w:pPr>
        <w:numPr>
          <w:ilvl w:val="0"/>
          <w:numId w:val="5"/>
        </w:numPr>
        <w:rPr>
          <w:rFonts w:ascii="Cambria" w:hAnsi="Cambria"/>
        </w:rPr>
      </w:pPr>
      <w:proofErr w:type="gramStart"/>
      <w:r w:rsidRPr="001917A3">
        <w:rPr>
          <w:rFonts w:ascii="Cambria" w:hAnsi="Cambria"/>
          <w:b/>
          <w:bCs/>
        </w:rPr>
        <w:t>The Justification</w:t>
      </w:r>
      <w:proofErr w:type="gramEnd"/>
      <w:r w:rsidRPr="001917A3">
        <w:rPr>
          <w:rFonts w:ascii="Cambria" w:hAnsi="Cambria"/>
          <w:b/>
          <w:bCs/>
        </w:rPr>
        <w:t>:</w:t>
      </w:r>
      <w:r w:rsidRPr="001917A3">
        <w:rPr>
          <w:rFonts w:ascii="Cambria" w:hAnsi="Cambria"/>
        </w:rPr>
        <w:t xml:space="preserve"> The structural model is not an add-on but the necessary mechanism to move from reduced-form causal estimates to a quantified welfare statement.</w:t>
      </w:r>
    </w:p>
    <w:p w14:paraId="40FDEFFB" w14:textId="77777777" w:rsidR="00D4460E" w:rsidRPr="001917A3" w:rsidRDefault="00D4460E" w:rsidP="00D4460E">
      <w:pPr>
        <w:numPr>
          <w:ilvl w:val="0"/>
          <w:numId w:val="5"/>
        </w:numPr>
        <w:rPr>
          <w:rFonts w:ascii="Cambria" w:hAnsi="Cambria"/>
        </w:rPr>
      </w:pPr>
      <w:r w:rsidRPr="001917A3">
        <w:rPr>
          <w:rFonts w:ascii="Cambria" w:hAnsi="Cambria"/>
          <w:b/>
          <w:bCs/>
        </w:rPr>
        <w:t>The Application:</w:t>
      </w:r>
      <w:r w:rsidRPr="001917A3">
        <w:rPr>
          <w:rFonts w:ascii="Cambria" w:hAnsi="Cambria"/>
        </w:rPr>
        <w:t xml:space="preserve"> While the quasi-experimental design isolates the pure pricing channel, a dynamic structural model is required to evaluate the exit-timing problem of asset retirement. The structural model is essential to recover the actual welfare reach of the priced regime and to bound the residual gap between internalized liability costs and unpriced environmental externalities.</w:t>
      </w:r>
    </w:p>
    <w:p w14:paraId="58678844" w14:textId="77777777" w:rsidR="00D4460E" w:rsidRPr="001917A3" w:rsidRDefault="00D4460E" w:rsidP="00D4460E">
      <w:pPr>
        <w:rPr>
          <w:rFonts w:ascii="Cambria" w:hAnsi="Cambria"/>
          <w:b/>
          <w:bCs/>
        </w:rPr>
      </w:pPr>
    </w:p>
    <w:p w14:paraId="2E213682" w14:textId="77777777" w:rsidR="00D4460E" w:rsidRPr="001917A3" w:rsidRDefault="00D4460E" w:rsidP="00D4460E">
      <w:pPr>
        <w:rPr>
          <w:rFonts w:ascii="Cambria" w:hAnsi="Cambria"/>
          <w:b/>
          <w:bCs/>
        </w:rPr>
      </w:pPr>
    </w:p>
    <w:p w14:paraId="4510B661" w14:textId="77777777" w:rsidR="00D4460E" w:rsidRPr="001917A3" w:rsidRDefault="00D4460E" w:rsidP="00D4460E">
      <w:pPr>
        <w:rPr>
          <w:rFonts w:ascii="Cambria" w:hAnsi="Cambria"/>
          <w:b/>
          <w:bCs/>
        </w:rPr>
      </w:pPr>
    </w:p>
    <w:p w14:paraId="5FF24545" w14:textId="77777777" w:rsidR="00D4460E" w:rsidRPr="001917A3" w:rsidRDefault="00D4460E" w:rsidP="00D4460E">
      <w:pPr>
        <w:rPr>
          <w:rFonts w:ascii="Cambria" w:hAnsi="Cambria"/>
          <w:b/>
          <w:bCs/>
        </w:rPr>
      </w:pPr>
    </w:p>
    <w:p w14:paraId="15715E94" w14:textId="77777777" w:rsidR="00D4460E" w:rsidRPr="001917A3" w:rsidRDefault="00D4460E" w:rsidP="00D4460E">
      <w:pPr>
        <w:rPr>
          <w:rFonts w:ascii="Cambria" w:hAnsi="Cambria"/>
          <w:b/>
          <w:bCs/>
        </w:rPr>
      </w:pPr>
    </w:p>
    <w:p w14:paraId="5159871F" w14:textId="77777777" w:rsidR="00D4460E" w:rsidRPr="001917A3" w:rsidRDefault="00D4460E" w:rsidP="00D4460E">
      <w:pPr>
        <w:rPr>
          <w:rFonts w:ascii="Cambria" w:hAnsi="Cambria"/>
          <w:b/>
          <w:bCs/>
        </w:rPr>
      </w:pPr>
    </w:p>
    <w:p w14:paraId="3C3B8219" w14:textId="77777777" w:rsidR="00D4460E" w:rsidRPr="001917A3" w:rsidRDefault="00D4460E" w:rsidP="00D4460E">
      <w:pPr>
        <w:rPr>
          <w:rFonts w:ascii="Cambria" w:hAnsi="Cambria"/>
          <w:b/>
          <w:bCs/>
        </w:rPr>
      </w:pPr>
    </w:p>
    <w:p w14:paraId="6C7D696D" w14:textId="77777777" w:rsidR="00D4460E" w:rsidRPr="001917A3" w:rsidRDefault="00D4460E">
      <w:pPr>
        <w:rPr>
          <w:rFonts w:ascii="Cambria" w:hAnsi="Cambria"/>
        </w:rPr>
      </w:pPr>
    </w:p>
    <w:sectPr w:rsidR="00D4460E" w:rsidRPr="00191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57D"/>
    <w:multiLevelType w:val="multilevel"/>
    <w:tmpl w:val="5AF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33629"/>
    <w:multiLevelType w:val="multilevel"/>
    <w:tmpl w:val="057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C3C2E"/>
    <w:multiLevelType w:val="multilevel"/>
    <w:tmpl w:val="C44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E65B7"/>
    <w:multiLevelType w:val="multilevel"/>
    <w:tmpl w:val="B88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86B8E"/>
    <w:multiLevelType w:val="multilevel"/>
    <w:tmpl w:val="E176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30CCE"/>
    <w:multiLevelType w:val="multilevel"/>
    <w:tmpl w:val="BBD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1822">
    <w:abstractNumId w:val="5"/>
  </w:num>
  <w:num w:numId="2" w16cid:durableId="355354452">
    <w:abstractNumId w:val="0"/>
  </w:num>
  <w:num w:numId="3" w16cid:durableId="1791850631">
    <w:abstractNumId w:val="1"/>
  </w:num>
  <w:num w:numId="4" w16cid:durableId="363486278">
    <w:abstractNumId w:val="2"/>
  </w:num>
  <w:num w:numId="5" w16cid:durableId="1503012216">
    <w:abstractNumId w:val="4"/>
  </w:num>
  <w:num w:numId="6" w16cid:durableId="1122916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0E"/>
    <w:rsid w:val="001917A3"/>
    <w:rsid w:val="005A2C57"/>
    <w:rsid w:val="00AC5CCD"/>
    <w:rsid w:val="00D44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BEC6"/>
  <w15:chartTrackingRefBased/>
  <w15:docId w15:val="{B2C27D73-997E-4D8E-A98B-2754436D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60E"/>
    <w:rPr>
      <w:rFonts w:eastAsiaTheme="majorEastAsia" w:cstheme="majorBidi"/>
      <w:color w:val="272727" w:themeColor="text1" w:themeTint="D8"/>
    </w:rPr>
  </w:style>
  <w:style w:type="paragraph" w:styleId="Title">
    <w:name w:val="Title"/>
    <w:basedOn w:val="Normal"/>
    <w:next w:val="Normal"/>
    <w:link w:val="TitleChar"/>
    <w:uiPriority w:val="10"/>
    <w:qFormat/>
    <w:rsid w:val="00D44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60E"/>
    <w:pPr>
      <w:spacing w:before="160"/>
      <w:jc w:val="center"/>
    </w:pPr>
    <w:rPr>
      <w:i/>
      <w:iCs/>
      <w:color w:val="404040" w:themeColor="text1" w:themeTint="BF"/>
    </w:rPr>
  </w:style>
  <w:style w:type="character" w:customStyle="1" w:styleId="QuoteChar">
    <w:name w:val="Quote Char"/>
    <w:basedOn w:val="DefaultParagraphFont"/>
    <w:link w:val="Quote"/>
    <w:uiPriority w:val="29"/>
    <w:rsid w:val="00D4460E"/>
    <w:rPr>
      <w:i/>
      <w:iCs/>
      <w:color w:val="404040" w:themeColor="text1" w:themeTint="BF"/>
    </w:rPr>
  </w:style>
  <w:style w:type="paragraph" w:styleId="ListParagraph">
    <w:name w:val="List Paragraph"/>
    <w:basedOn w:val="Normal"/>
    <w:uiPriority w:val="34"/>
    <w:qFormat/>
    <w:rsid w:val="00D4460E"/>
    <w:pPr>
      <w:ind w:left="720"/>
      <w:contextualSpacing/>
    </w:pPr>
  </w:style>
  <w:style w:type="character" w:styleId="IntenseEmphasis">
    <w:name w:val="Intense Emphasis"/>
    <w:basedOn w:val="DefaultParagraphFont"/>
    <w:uiPriority w:val="21"/>
    <w:qFormat/>
    <w:rsid w:val="00D4460E"/>
    <w:rPr>
      <w:i/>
      <w:iCs/>
      <w:color w:val="0F4761" w:themeColor="accent1" w:themeShade="BF"/>
    </w:rPr>
  </w:style>
  <w:style w:type="paragraph" w:styleId="IntenseQuote">
    <w:name w:val="Intense Quote"/>
    <w:basedOn w:val="Normal"/>
    <w:next w:val="Normal"/>
    <w:link w:val="IntenseQuoteChar"/>
    <w:uiPriority w:val="30"/>
    <w:qFormat/>
    <w:rsid w:val="00D4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60E"/>
    <w:rPr>
      <w:i/>
      <w:iCs/>
      <w:color w:val="0F4761" w:themeColor="accent1" w:themeShade="BF"/>
    </w:rPr>
  </w:style>
  <w:style w:type="character" w:styleId="IntenseReference">
    <w:name w:val="Intense Reference"/>
    <w:basedOn w:val="DefaultParagraphFont"/>
    <w:uiPriority w:val="32"/>
    <w:qFormat/>
    <w:rsid w:val="00D44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Javier</dc:creator>
  <cp:keywords/>
  <dc:description/>
  <cp:lastModifiedBy>Kaleb Javier</cp:lastModifiedBy>
  <cp:revision>1</cp:revision>
  <dcterms:created xsi:type="dcterms:W3CDTF">2026-05-21T21:06:00Z</dcterms:created>
  <dcterms:modified xsi:type="dcterms:W3CDTF">2026-05-21T21:52:00Z</dcterms:modified>
</cp:coreProperties>
</file>