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TrustECG: Explainable Multi-Label ECG Classification</w:t>
      </w:r>
    </w:p>
    <w:p>
      <w:r>
        <w:t>Project Report</w:t>
      </w:r>
    </w:p>
    <w:p>
      <w:r>
        <w:t>February 2026</w:t>
      </w:r>
    </w:p>
    <w:p>
      <w:r>
        <w:t>__________________________________________________</w:t>
      </w:r>
    </w:p>
    <w:p>
      <w:pPr>
        <w:pStyle w:val="Heading1"/>
      </w:pPr>
      <w:r>
        <w:t>Executive Summary</w:t>
      </w:r>
    </w:p>
    <w:p>
      <w:r>
        <w:t>This report documents the development of TrustECG, a deep learning system that can automatically analyze 12-lead ECG recordings and detect five different cardiac conditions. What makes this project special is that it doesn't just give predictions, it also explains why it made those predictions. This is crucial in healthcare where doctors need to trust and understand AI recommendations.</w:t>
      </w:r>
    </w:p>
    <w:p>
      <w:r>
        <w:t>Key Results:</w:t>
      </w:r>
    </w:p>
    <w:p>
      <w:pPr>
        <w:pStyle w:val="ListBullet"/>
      </w:pPr>
      <w:r>
        <w:t>Achieved 92.1% validation AUROC and 91.2% test AUROC</w:t>
      </w:r>
    </w:p>
    <w:p>
      <w:pPr>
        <w:pStyle w:val="ListBullet"/>
      </w:pPr>
      <w:r>
        <w:t>Successfully classifies 5 cardiac conditions simultaneously</w:t>
      </w:r>
    </w:p>
    <w:p>
      <w:pPr>
        <w:pStyle w:val="ListBullet"/>
      </w:pPr>
      <w:r>
        <w:t>Provides visual explanations through attention mechanisms</w:t>
      </w:r>
    </w:p>
    <w:p>
      <w:pPr>
        <w:pStyle w:val="ListBullet"/>
      </w:pPr>
      <w:r>
        <w:t>Built an interactive Streamlit dashboard for real-time predictions</w:t>
      </w:r>
    </w:p>
    <w:p>
      <w:r>
        <w:t>__________________________________________________</w:t>
      </w:r>
    </w:p>
    <w:p>
      <w:pPr>
        <w:pStyle w:val="Heading1"/>
      </w:pPr>
      <w:r>
        <w:t>1. Introduction</w:t>
      </w:r>
    </w:p>
    <w:p>
      <w:pPr>
        <w:pStyle w:val="Heading2"/>
      </w:pPr>
      <w:r>
        <w:t>1.1 The Problem</w:t>
      </w:r>
    </w:p>
    <w:p>
      <w:r>
        <w:t>Electrocardiograms (ECGs) are everywhere in medicine. They're the first thing doctors look at when someone comes in with chest pain or heart problems. But here's the thing: reading ECGs properly takes years of training, and even experienced cardiologists can miss subtle patterns, especially when they're overworked or fatigued.</w:t>
      </w:r>
    </w:p>
    <w:p>
      <w:r>
        <w:t>Every year, millions of ECGs are recorded worldwide. Many of them are read by doctors who are juggling dozens of other patients. What if we could build an AI assistant that helps catch things that might be missed? Not to replace doctors, but to be a second pair of eyes.</w:t>
      </w:r>
    </w:p>
    <w:p>
      <w:pPr>
        <w:pStyle w:val="Heading2"/>
      </w:pPr>
      <w:r>
        <w:t>1.2 Our Solution</w:t>
      </w:r>
    </w:p>
    <w:p>
      <w:r>
        <w:t>We built TrustECG, a neural network that:</w:t>
      </w:r>
    </w:p>
    <w:p>
      <w:pPr>
        <w:pStyle w:val="ListNumber"/>
      </w:pPr>
      <w:r>
        <w:t>Reads 12-lead ECGs just like a cardiologist would</w:t>
      </w:r>
    </w:p>
    <w:p>
      <w:pPr>
        <w:pStyle w:val="ListNumber"/>
      </w:pPr>
      <w:r>
        <w:t>Detects multiple conditions at once (because patients often have more than one problem)</w:t>
      </w:r>
    </w:p>
    <w:p>
      <w:pPr>
        <w:pStyle w:val="ListNumber"/>
      </w:pPr>
      <w:r>
        <w:t>Shows its reasoning through attention visualization (this is the "Trust" part)</w:t>
      </w:r>
    </w:p>
    <w:p>
      <w:pPr>
        <w:pStyle w:val="ListNumber"/>
      </w:pPr>
      <w:r>
        <w:t>Works in real-time through an easy-to-use web interface</w:t>
      </w:r>
    </w:p>
    <w:p>
      <w:r>
        <w:t>The "explainability" part is really important. We're not building a black box. Doctors can see exactly which parts of the ECG the model focused on and which leads were most important for each diagnosis.</w:t>
      </w:r>
    </w:p>
    <w:p>
      <w:pPr>
        <w:pStyle w:val="Heading2"/>
      </w:pPr>
      <w:r>
        <w:t>1.3 The Dataset</w:t>
      </w:r>
    </w:p>
    <w:p>
      <w:r>
        <w:t>We used the PTB-XL dataset, which is the largest publicly available ECG dataset. It contains:</w:t>
      </w:r>
    </w:p>
    <w:p>
      <w:pPr>
        <w:pStyle w:val="ListBullet"/>
      </w:pPr>
      <w:r>
        <w:t>21,801 clinical ECG recordings</w:t>
      </w:r>
    </w:p>
    <w:p>
      <w:pPr>
        <w:pStyle w:val="ListBullet"/>
      </w:pPr>
      <w:r>
        <w:t>12-lead format (standard clinical setup)</w:t>
      </w:r>
    </w:p>
    <w:p>
      <w:pPr>
        <w:pStyle w:val="ListBullet"/>
      </w:pPr>
      <w:r>
        <w:t>10 seconds each at 100 Hz sampling rate</w:t>
      </w:r>
    </w:p>
    <w:p>
      <w:pPr>
        <w:pStyle w:val="ListBullet"/>
      </w:pPr>
      <w:r>
        <w:t>Verified by cardiologists with standardized diagnostic labels</w:t>
      </w:r>
    </w:p>
    <w:p>
      <w:r>
        <w:t>This dataset comes from real hospital patients in Germany, so it represents actual clinical conditions, not synthetic or curated data.</w:t>
      </w:r>
    </w:p>
    <w:p>
      <w:r>
        <w:t>__________________________________________________</w:t>
      </w:r>
    </w:p>
    <w:p>
      <w:pPr>
        <w:pStyle w:val="Heading1"/>
      </w:pPr>
      <w:r>
        <w:t>2. Understanding the Data</w:t>
      </w:r>
    </w:p>
    <w:p>
      <w:pPr>
        <w:pStyle w:val="Heading2"/>
      </w:pPr>
      <w:r>
        <w:t>2.1 What Are We Predicting?</w:t>
      </w:r>
    </w:p>
    <w:p>
      <w:r>
        <w:t>We focused on 5 main diagnostic categories (called "superclasses"):</w:t>
      </w:r>
    </w:p>
    <w:tbl>
      <w:tblPr>
        <w:tblStyle w:val="TableGrid"/>
        <w:tblW w:type="auto" w:w="0"/>
        <w:tblLook w:firstColumn="1" w:firstRow="1" w:lastColumn="0" w:lastRow="0" w:noHBand="0" w:noVBand="1" w:val="04A0"/>
      </w:tblPr>
      <w:tblGrid>
        <w:gridCol w:w="2880"/>
        <w:gridCol w:w="2880"/>
        <w:gridCol w:w="2880"/>
      </w:tblGrid>
      <w:tr>
        <w:tc>
          <w:tcPr>
            <w:tcW w:type="dxa" w:w="2880"/>
          </w:tcPr>
          <w:p>
            <w:r>
              <w:t>Class</w:t>
            </w:r>
          </w:p>
        </w:tc>
        <w:tc>
          <w:tcPr>
            <w:tcW w:type="dxa" w:w="2880"/>
          </w:tcPr>
          <w:p>
            <w:r>
              <w:t>Full Name</w:t>
            </w:r>
          </w:p>
        </w:tc>
        <w:tc>
          <w:tcPr>
            <w:tcW w:type="dxa" w:w="2880"/>
          </w:tcPr>
          <w:p>
            <w:r>
              <w:t>What It Means</w:t>
            </w:r>
          </w:p>
        </w:tc>
      </w:tr>
      <w:tr>
        <w:tc>
          <w:tcPr>
            <w:tcW w:type="dxa" w:w="2880"/>
          </w:tcPr>
          <w:p>
            <w:r>
              <w:t>NORM</w:t>
            </w:r>
          </w:p>
        </w:tc>
        <w:tc>
          <w:tcPr>
            <w:tcW w:type="dxa" w:w="2880"/>
          </w:tcPr>
          <w:p>
            <w:r>
              <w:t>Normal</w:t>
            </w:r>
          </w:p>
        </w:tc>
        <w:tc>
          <w:tcPr>
            <w:tcW w:type="dxa" w:w="2880"/>
          </w:tcPr>
          <w:p>
            <w:r>
              <w:t>Healthy heart rhythm, nothing wrong</w:t>
            </w:r>
          </w:p>
        </w:tc>
      </w:tr>
      <w:tr>
        <w:tc>
          <w:tcPr>
            <w:tcW w:type="dxa" w:w="2880"/>
          </w:tcPr>
          <w:p>
            <w:r>
              <w:t>MI</w:t>
            </w:r>
          </w:p>
        </w:tc>
        <w:tc>
          <w:tcPr>
            <w:tcW w:type="dxa" w:w="2880"/>
          </w:tcPr>
          <w:p>
            <w:r>
              <w:t>Myocardial Infarction</w:t>
            </w:r>
          </w:p>
        </w:tc>
        <w:tc>
          <w:tcPr>
            <w:tcW w:type="dxa" w:w="2880"/>
          </w:tcPr>
          <w:p>
            <w:r>
              <w:t>Heart attack or signs of previous damage</w:t>
            </w:r>
          </w:p>
        </w:tc>
      </w:tr>
      <w:tr>
        <w:tc>
          <w:tcPr>
            <w:tcW w:type="dxa" w:w="2880"/>
          </w:tcPr>
          <w:p>
            <w:r>
              <w:t>STTC</w:t>
            </w:r>
          </w:p>
        </w:tc>
        <w:tc>
          <w:tcPr>
            <w:tcW w:type="dxa" w:w="2880"/>
          </w:tcPr>
          <w:p>
            <w:r>
              <w:t>ST/T Change</w:t>
            </w:r>
          </w:p>
        </w:tc>
        <w:tc>
          <w:tcPr>
            <w:tcW w:type="dxa" w:w="2880"/>
          </w:tcPr>
          <w:p>
            <w:r>
              <w:t>Abnormalities in specific waveform segments</w:t>
            </w:r>
          </w:p>
        </w:tc>
      </w:tr>
      <w:tr>
        <w:tc>
          <w:tcPr>
            <w:tcW w:type="dxa" w:w="2880"/>
          </w:tcPr>
          <w:p>
            <w:r>
              <w:t>CD</w:t>
            </w:r>
          </w:p>
        </w:tc>
        <w:tc>
          <w:tcPr>
            <w:tcW w:type="dxa" w:w="2880"/>
          </w:tcPr>
          <w:p>
            <w:r>
              <w:t>Conduction Disturbance</w:t>
            </w:r>
          </w:p>
        </w:tc>
        <w:tc>
          <w:tcPr>
            <w:tcW w:type="dxa" w:w="2880"/>
          </w:tcPr>
          <w:p>
            <w:r>
              <w:t>Problems with electrical signal transmission</w:t>
            </w:r>
          </w:p>
        </w:tc>
      </w:tr>
      <w:tr>
        <w:tc>
          <w:tcPr>
            <w:tcW w:type="dxa" w:w="2880"/>
          </w:tcPr>
          <w:p>
            <w:r>
              <w:t>HYP</w:t>
            </w:r>
          </w:p>
        </w:tc>
        <w:tc>
          <w:tcPr>
            <w:tcW w:type="dxa" w:w="2880"/>
          </w:tcPr>
          <w:p>
            <w:r>
              <w:t>Hypertrophy</w:t>
            </w:r>
          </w:p>
        </w:tc>
        <w:tc>
          <w:tcPr>
            <w:tcW w:type="dxa" w:w="2880"/>
          </w:tcPr>
          <w:p>
            <w:r>
              <w:t>Enlarged heart chambers</w:t>
            </w:r>
          </w:p>
        </w:tc>
      </w:tr>
    </w:tbl>
    <w:p/>
    <w:p>
      <w:pPr>
        <w:pStyle w:val="Heading2"/>
      </w:pPr>
      <w:r>
        <w:t>2.2 Class Distribution</w:t>
      </w:r>
    </w:p>
    <w:p>
      <w:r>
        <w:t>Looking at our data, we found an interesting pattern:</w:t>
      </w:r>
    </w:p>
    <w:p>
      <w:pPr>
        <w:pStyle w:val="ListBullet"/>
      </w:pPr>
      <w:r>
        <w:t>NORM (Normal): 43.3% of recordings</w:t>
      </w:r>
    </w:p>
    <w:p>
      <w:pPr>
        <w:pStyle w:val="ListBullet"/>
      </w:pPr>
      <w:r>
        <w:t>MI: 19.0%</w:t>
      </w:r>
    </w:p>
    <w:p>
      <w:pPr>
        <w:pStyle w:val="ListBullet"/>
      </w:pPr>
      <w:r>
        <w:t>STTC: 23.3%</w:t>
      </w:r>
    </w:p>
    <w:p>
      <w:pPr>
        <w:pStyle w:val="ListBullet"/>
      </w:pPr>
      <w:r>
        <w:t>CD: 22.5%</w:t>
      </w:r>
    </w:p>
    <w:p>
      <w:pPr>
        <w:pStyle w:val="ListBullet"/>
      </w:pPr>
      <w:r>
        <w:t>HYP: 10.4%</w:t>
      </w:r>
    </w:p>
    <w:p>
      <w:pPr>
        <w:jc w:val="center"/>
      </w:pPr>
      <w:r>
        <w:drawing>
          <wp:inline xmlns:a="http://schemas.openxmlformats.org/drawingml/2006/main" xmlns:pic="http://schemas.openxmlformats.org/drawingml/2006/picture">
            <wp:extent cx="5029200" cy="1828229"/>
            <wp:docPr id="1" name="Picture 1"/>
            <wp:cNvGraphicFramePr>
              <a:graphicFrameLocks noChangeAspect="1"/>
            </wp:cNvGraphicFramePr>
            <a:graphic>
              <a:graphicData uri="http://schemas.openxmlformats.org/drawingml/2006/picture">
                <pic:pic>
                  <pic:nvPicPr>
                    <pic:cNvPr id="0" name="01_class_distribution.png"/>
                    <pic:cNvPicPr/>
                  </pic:nvPicPr>
                  <pic:blipFill>
                    <a:blip r:embed="rId9"/>
                    <a:stretch>
                      <a:fillRect/>
                    </a:stretch>
                  </pic:blipFill>
                  <pic:spPr>
                    <a:xfrm>
                      <a:off x="0" y="0"/>
                      <a:ext cx="5029200" cy="1828229"/>
                    </a:xfrm>
                    <a:prstGeom prst="rect"/>
                  </pic:spPr>
                </pic:pic>
              </a:graphicData>
            </a:graphic>
          </wp:inline>
        </w:drawing>
      </w:r>
    </w:p>
    <w:p>
      <w:pPr>
        <w:jc w:val="center"/>
      </w:pPr>
      <w:r>
        <w:rPr>
          <w:i/>
        </w:rPr>
        <w:t>Figure: 01 Class Distribution</w:t>
      </w:r>
    </w:p>
    <w:p>
      <w:r>
        <w:t>This makes sense clinically. Normal ECGs are the most common (thankfully!), while some conditions like hypertrophy are rarer. This imbalance is something we had to handle carefully during training.</w:t>
      </w:r>
    </w:p>
    <w:p>
      <w:pPr>
        <w:pStyle w:val="Heading2"/>
      </w:pPr>
      <w:r>
        <w:t>2.3 Multi-Label Nature</w:t>
      </w:r>
    </w:p>
    <w:p>
      <w:r>
        <w:t>Here's something important: patients can have multiple conditions at once. For example, someone might have both MI and STTC (heart attack often comes with ST changes). We found that:</w:t>
      </w:r>
    </w:p>
    <w:p>
      <w:pPr>
        <w:pStyle w:val="ListBullet"/>
      </w:pPr>
      <w:r>
        <w:t>About 27% of recordings have multiple labels</w:t>
      </w:r>
    </w:p>
    <w:p>
      <w:pPr>
        <w:pStyle w:val="ListBullet"/>
      </w:pPr>
      <w:r>
        <w:t>MI and STTC frequently occur together</w:t>
      </w:r>
    </w:p>
    <w:p>
      <w:pPr>
        <w:pStyle w:val="ListBullet"/>
      </w:pPr>
      <w:r>
        <w:t>NORM rarely appears with other conditions (makes sense, right?)</w:t>
      </w:r>
    </w:p>
    <w:p>
      <w:pPr>
        <w:jc w:val="center"/>
      </w:pPr>
      <w:r>
        <w:drawing>
          <wp:inline xmlns:a="http://schemas.openxmlformats.org/drawingml/2006/main" xmlns:pic="http://schemas.openxmlformats.org/drawingml/2006/picture">
            <wp:extent cx="5029200" cy="4228297"/>
            <wp:docPr id="2" name="Picture 2"/>
            <wp:cNvGraphicFramePr>
              <a:graphicFrameLocks noChangeAspect="1"/>
            </wp:cNvGraphicFramePr>
            <a:graphic>
              <a:graphicData uri="http://schemas.openxmlformats.org/drawingml/2006/picture">
                <pic:pic>
                  <pic:nvPicPr>
                    <pic:cNvPr id="0" name="02_co_occurrence.png"/>
                    <pic:cNvPicPr/>
                  </pic:nvPicPr>
                  <pic:blipFill>
                    <a:blip r:embed="rId10"/>
                    <a:stretch>
                      <a:fillRect/>
                    </a:stretch>
                  </pic:blipFill>
                  <pic:spPr>
                    <a:xfrm>
                      <a:off x="0" y="0"/>
                      <a:ext cx="5029200" cy="4228297"/>
                    </a:xfrm>
                    <a:prstGeom prst="rect"/>
                  </pic:spPr>
                </pic:pic>
              </a:graphicData>
            </a:graphic>
          </wp:inline>
        </w:drawing>
      </w:r>
    </w:p>
    <w:p>
      <w:pPr>
        <w:jc w:val="center"/>
      </w:pPr>
      <w:r>
        <w:rPr>
          <w:i/>
        </w:rPr>
        <w:t>Figure: 02 Co Occurrence</w:t>
      </w:r>
    </w:p>
    <w:p>
      <w:r>
        <w:t>This is why we use multi-label classification instead of picking just one class. We use sigmoid activation (not softmax) so each condition is predicted independently.</w:t>
      </w:r>
    </w:p>
    <w:p>
      <w:pPr>
        <w:pStyle w:val="Heading2"/>
      </w:pPr>
      <w:r>
        <w:t>2.4 What Does an ECG Look Like?</w:t>
      </w:r>
    </w:p>
    <w:p>
      <w:r>
        <w:t>A 12-lead ECG captures electrical activity from different angles around the heart:</w:t>
      </w:r>
    </w:p>
    <w:p>
      <w:pPr>
        <w:pStyle w:val="ListBullet"/>
      </w:pPr>
      <w:r>
        <w:t>Limb leads (I, II, III, aVR, aVL, aVF): View from the frontal plane</w:t>
      </w:r>
    </w:p>
    <w:p>
      <w:pPr>
        <w:pStyle w:val="ListBullet"/>
      </w:pPr>
      <w:r>
        <w:t>Chest leads (V1-V6): View from the horizontal plane</w:t>
      </w:r>
    </w:p>
    <w:p>
      <w:pPr>
        <w:jc w:val="center"/>
      </w:pPr>
      <w:r>
        <w:drawing>
          <wp:inline xmlns:a="http://schemas.openxmlformats.org/drawingml/2006/main" xmlns:pic="http://schemas.openxmlformats.org/drawingml/2006/picture">
            <wp:extent cx="5029200" cy="3553003"/>
            <wp:docPr id="3" name="Picture 3"/>
            <wp:cNvGraphicFramePr>
              <a:graphicFrameLocks noChangeAspect="1"/>
            </wp:cNvGraphicFramePr>
            <a:graphic>
              <a:graphicData uri="http://schemas.openxmlformats.org/drawingml/2006/picture">
                <pic:pic>
                  <pic:nvPicPr>
                    <pic:cNvPr id="0" name="03_sample_12lead_ecg.png"/>
                    <pic:cNvPicPr/>
                  </pic:nvPicPr>
                  <pic:blipFill>
                    <a:blip r:embed="rId11"/>
                    <a:stretch>
                      <a:fillRect/>
                    </a:stretch>
                  </pic:blipFill>
                  <pic:spPr>
                    <a:xfrm>
                      <a:off x="0" y="0"/>
                      <a:ext cx="5029200" cy="3553003"/>
                    </a:xfrm>
                    <a:prstGeom prst="rect"/>
                  </pic:spPr>
                </pic:pic>
              </a:graphicData>
            </a:graphic>
          </wp:inline>
        </w:drawing>
      </w:r>
    </w:p>
    <w:p>
      <w:pPr>
        <w:jc w:val="center"/>
      </w:pPr>
      <w:r>
        <w:rPr>
          <w:i/>
        </w:rPr>
        <w:t>Figure: 03 Sample 12Lead Ecg</w:t>
      </w:r>
    </w:p>
    <w:p>
      <w:r>
        <w:t>Each lead tells a different story. For example:</w:t>
      </w:r>
    </w:p>
    <w:p>
      <w:pPr>
        <w:pStyle w:val="ListBullet"/>
      </w:pPr>
      <w:r>
        <w:t>Lead II is great for rhythm analysis</w:t>
      </w:r>
    </w:p>
    <w:p>
      <w:pPr>
        <w:pStyle w:val="ListBullet"/>
      </w:pPr>
      <w:r>
        <w:t>V1-V2 show the septum (middle wall)</w:t>
      </w:r>
    </w:p>
    <w:p>
      <w:pPr>
        <w:pStyle w:val="ListBullet"/>
      </w:pPr>
      <w:r>
        <w:t>V5-V6 show the lateral wall</w:t>
      </w:r>
    </w:p>
    <w:p>
      <w:r>
        <w:t>Different conditions affect different leads, which is why we built attention mechanisms to learn which leads matter for which diagnosis.</w:t>
      </w:r>
    </w:p>
    <w:p>
      <w:r>
        <w:t>__________________________________________________</w:t>
      </w:r>
    </w:p>
    <w:p>
      <w:pPr>
        <w:pStyle w:val="Heading1"/>
      </w:pPr>
      <w:r>
        <w:t>3. Our Approach</w:t>
      </w:r>
    </w:p>
    <w:p>
      <w:pPr>
        <w:pStyle w:val="Heading2"/>
      </w:pPr>
      <w:r>
        <w:t>3.1 Data Preprocessing</w:t>
      </w:r>
    </w:p>
    <w:p>
      <w:r>
        <w:t>Before feeding ECGs to our model, we clean them up:</w:t>
      </w:r>
    </w:p>
    <w:p>
      <w:r>
        <w:t>Step 1: Bandpass Filter (0.5-40 Hz)</w:t>
      </w:r>
    </w:p>
    <w:p>
      <w:pPr>
        <w:pStyle w:val="ListBullet"/>
      </w:pPr>
      <w:r>
        <w:t>Removes baseline wander from breathing and movement (below 0.5 Hz)</w:t>
      </w:r>
    </w:p>
    <w:p>
      <w:pPr>
        <w:pStyle w:val="ListBullet"/>
      </w:pPr>
      <w:r>
        <w:t>Removes high-frequency noise and muscle artifacts (above 40 Hz)</w:t>
      </w:r>
    </w:p>
    <w:p>
      <w:pPr>
        <w:pStyle w:val="ListBullet"/>
      </w:pPr>
      <w:r>
        <w:t>Most clinically relevant ECG information is in this range</w:t>
      </w:r>
    </w:p>
    <w:p>
      <w:r>
        <w:t>Step 2: Z-Score Normalization</w:t>
      </w:r>
    </w:p>
    <w:p>
      <w:pPr>
        <w:pStyle w:val="ListBullet"/>
      </w:pPr>
      <w:r>
        <w:t>Subtracts the mean and divides by standard deviation</w:t>
      </w:r>
    </w:p>
    <w:p>
      <w:pPr>
        <w:pStyle w:val="ListBullet"/>
      </w:pPr>
      <w:r>
        <w:t>Makes all ECGs comparable regardless of recording amplitude</w:t>
      </w:r>
    </w:p>
    <w:p>
      <w:pPr>
        <w:pStyle w:val="ListBullet"/>
      </w:pPr>
      <w:r>
        <w:t>Formula: x_normalized = (x - mean) / std</w:t>
      </w:r>
    </w:p>
    <w:p>
      <w:pPr>
        <w:pStyle w:val="Heading2"/>
      </w:pPr>
      <w:r>
        <w:t>3.2 Train/Validation/Test Split</w:t>
      </w:r>
    </w:p>
    <w:p>
      <w:r>
        <w:t>We used the pre-defined stratification folds from PTB-XL: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Split</w:t>
            </w:r>
          </w:p>
        </w:tc>
        <w:tc>
          <w:tcPr>
            <w:tcW w:type="dxa" w:w="2160"/>
          </w:tcPr>
          <w:p>
            <w:r>
              <w:t>Folds</w:t>
            </w:r>
          </w:p>
        </w:tc>
        <w:tc>
          <w:tcPr>
            <w:tcW w:type="dxa" w:w="2160"/>
          </w:tcPr>
          <w:p>
            <w:r>
              <w:t>Count</w:t>
            </w:r>
          </w:p>
        </w:tc>
        <w:tc>
          <w:tcPr>
            <w:tcW w:type="dxa" w:w="2160"/>
          </w:tcPr>
          <w:p>
            <w:r>
              <w:t>Percentage</w:t>
            </w:r>
          </w:p>
        </w:tc>
      </w:tr>
      <w:tr>
        <w:tc>
          <w:tcPr>
            <w:tcW w:type="dxa" w:w="2160"/>
          </w:tcPr>
          <w:p>
            <w:r>
              <w:t>Training</w:t>
            </w:r>
          </w:p>
        </w:tc>
        <w:tc>
          <w:tcPr>
            <w:tcW w:type="dxa" w:w="2160"/>
          </w:tcPr>
          <w:p>
            <w:r>
              <w:t>1-8</w:t>
            </w:r>
          </w:p>
        </w:tc>
        <w:tc>
          <w:tcPr>
            <w:tcW w:type="dxa" w:w="2160"/>
          </w:tcPr>
          <w:p>
            <w:r>
              <w:t>17,441</w:t>
            </w:r>
          </w:p>
        </w:tc>
        <w:tc>
          <w:tcPr>
            <w:tcW w:type="dxa" w:w="2160"/>
          </w:tcPr>
          <w:p>
            <w:r>
              <w:t>80%</w:t>
            </w:r>
          </w:p>
        </w:tc>
      </w:tr>
      <w:tr>
        <w:tc>
          <w:tcPr>
            <w:tcW w:type="dxa" w:w="2160"/>
          </w:tcPr>
          <w:p>
            <w:r>
              <w:t>Validation</w:t>
            </w:r>
          </w:p>
        </w:tc>
        <w:tc>
          <w:tcPr>
            <w:tcW w:type="dxa" w:w="2160"/>
          </w:tcPr>
          <w:p>
            <w:r>
              <w:t>9</w:t>
            </w:r>
          </w:p>
        </w:tc>
        <w:tc>
          <w:tcPr>
            <w:tcW w:type="dxa" w:w="2160"/>
          </w:tcPr>
          <w:p>
            <w:r>
              <w:t>2,203</w:t>
            </w:r>
          </w:p>
        </w:tc>
        <w:tc>
          <w:tcPr>
            <w:tcW w:type="dxa" w:w="2160"/>
          </w:tcPr>
          <w:p>
            <w:r>
              <w:t>10%</w:t>
            </w:r>
          </w:p>
        </w:tc>
      </w:tr>
      <w:tr>
        <w:tc>
          <w:tcPr>
            <w:tcW w:type="dxa" w:w="2160"/>
          </w:tcPr>
          <w:p>
            <w:r>
              <w:t>Test</w:t>
            </w:r>
          </w:p>
        </w:tc>
        <w:tc>
          <w:tcPr>
            <w:tcW w:type="dxa" w:w="2160"/>
          </w:tcPr>
          <w:p>
            <w:r>
              <w:t>10</w:t>
            </w:r>
          </w:p>
        </w:tc>
        <w:tc>
          <w:tcPr>
            <w:tcW w:type="dxa" w:w="2160"/>
          </w:tcPr>
          <w:p>
            <w:r>
              <w:t>2,157</w:t>
            </w:r>
          </w:p>
        </w:tc>
        <w:tc>
          <w:tcPr>
            <w:tcW w:type="dxa" w:w="2160"/>
          </w:tcPr>
          <w:p>
            <w:r>
              <w:t>10%</w:t>
            </w:r>
          </w:p>
        </w:tc>
      </w:tr>
    </w:tbl>
    <w:p/>
    <w:p>
      <w:r>
        <w:t>This split ensures:</w:t>
      </w:r>
    </w:p>
    <w:p>
      <w:pPr>
        <w:pStyle w:val="ListBullet"/>
      </w:pPr>
      <w:r>
        <w:t>No patient appears in multiple splits (prevents data leakage)</w:t>
      </w:r>
    </w:p>
    <w:p>
      <w:pPr>
        <w:pStyle w:val="ListBullet"/>
      </w:pPr>
      <w:r>
        <w:t>Class distribution is similar across splits</w:t>
      </w:r>
    </w:p>
    <w:p>
      <w:pPr>
        <w:pStyle w:val="ListBullet"/>
      </w:pPr>
      <w:r>
        <w:t>Results are reproducible</w:t>
      </w:r>
    </w:p>
    <w:p>
      <w:r>
        <w:t>__________________________________________________</w:t>
      </w:r>
    </w:p>
    <w:p>
      <w:pPr>
        <w:pStyle w:val="Heading1"/>
      </w:pPr>
      <w:r>
        <w:t>4. Model Architecture</w:t>
      </w:r>
    </w:p>
    <w:p>
      <w:pPr>
        <w:pStyle w:val="Heading2"/>
      </w:pPr>
      <w:r>
        <w:t>4.1 Overview</w:t>
      </w:r>
    </w:p>
    <w:p>
      <w:r>
        <w:t>We designed "ExplainableECGNet", a neural network with 276,421 parameters. It has four main components:</w:t>
      </w:r>
    </w:p>
    <w:p>
      <w:pPr>
        <w:pStyle w:val="ListNumber"/>
      </w:pPr>
      <w:r>
        <w:t>Lead-wise Encoder: Processes each of the 12 leads separately</w:t>
      </w:r>
    </w:p>
    <w:p>
      <w:pPr>
        <w:pStyle w:val="ListNumber"/>
      </w:pPr>
      <w:r>
        <w:t>Temporal Attention: Learns which time points matter</w:t>
      </w:r>
    </w:p>
    <w:p>
      <w:pPr>
        <w:pStyle w:val="ListNumber"/>
      </w:pPr>
      <w:r>
        <w:t>Lead Attention: Learns which leads matter</w:t>
      </w:r>
    </w:p>
    <w:p>
      <w:pPr>
        <w:pStyle w:val="ListNumber"/>
      </w:pPr>
      <w:r>
        <w:t>Classification Head: Makes the final predictions</w:t>
      </w:r>
    </w:p>
    <w:p>
      <w:r>
        <w:t>[Figure: High-level-architecture-diagram.png or detailed-architecture-diagram.png]</w:t>
      </w:r>
    </w:p>
    <w:p>
      <w:pPr>
        <w:pStyle w:val="Heading2"/>
      </w:pPr>
      <w:r>
        <w:t>4.2 Lead-wise CNN Encoder</w:t>
      </w:r>
    </w:p>
    <w:p>
      <w:r>
        <w:t>Instead of treating the ECG as one big signal, we process each lead independently through the same encoder. This makes sense because:</w:t>
      </w:r>
    </w:p>
    <w:p>
      <w:pPr>
        <w:pStyle w:val="ListBullet"/>
      </w:pPr>
      <w:r>
        <w:t>Each lead has the same structure (PQRST waves)</w:t>
      </w:r>
    </w:p>
    <w:p>
      <w:pPr>
        <w:pStyle w:val="ListBullet"/>
      </w:pPr>
      <w:r>
        <w:t>Processing separately lets the model learn lead-specific features</w:t>
      </w:r>
    </w:p>
    <w:p>
      <w:pPr>
        <w:pStyle w:val="ListBullet"/>
      </w:pPr>
      <w:r>
        <w:t>We can then compare across leads</w:t>
      </w:r>
    </w:p>
    <w:p>
      <w:r>
        <w:t>The encoder uses Residual Blocks (skip connections):</w:t>
      </w:r>
    </w:p>
    <w:p>
      <w:pPr>
        <w:pStyle w:val="ListBullet"/>
      </w:pPr>
      <w:r>
        <w:t>3 blocks with channels: 32 → 64 → 128</w:t>
      </w:r>
    </w:p>
    <w:p>
      <w:pPr>
        <w:pStyle w:val="ListBullet"/>
      </w:pPr>
      <w:r>
        <w:t>Kernel size: 7 (captures local patterns)</w:t>
      </w:r>
    </w:p>
    <w:p>
      <w:pPr>
        <w:pStyle w:val="ListBullet"/>
      </w:pPr>
      <w:r>
        <w:t>Stride: 2 (downsamples by half)</w:t>
      </w:r>
    </w:p>
    <w:p>
      <w:pPr>
        <w:pStyle w:val="ListBullet"/>
      </w:pPr>
      <w:r>
        <w:t>BatchNorm + ReLU + Dropout for regularization</w:t>
      </w:r>
    </w:p>
    <w:p>
      <w:r>
        <w:t>After encoding, each lead goes from 1000 samples to 125 time steps with 128 features.</w:t>
      </w:r>
    </w:p>
    <w:p>
      <w:pPr>
        <w:pStyle w:val="Heading2"/>
      </w:pPr>
      <w:r>
        <w:t>4.3 Temporal Attention</w:t>
      </w:r>
    </w:p>
    <w:p>
      <w:r>
        <w:t>This is where it gets interesting. For each lead, we ask: "Which time points are most important?"</w:t>
      </w:r>
    </w:p>
    <w:p>
      <w:r>
        <w:t>The attention mechanism learns to focus on:</w:t>
      </w:r>
    </w:p>
    <w:p>
      <w:pPr>
        <w:pStyle w:val="ListBullet"/>
      </w:pPr>
      <w:r>
        <w:t>QRS complexes (the main spike)</w:t>
      </w:r>
    </w:p>
    <w:p>
      <w:pPr>
        <w:pStyle w:val="ListBullet"/>
      </w:pPr>
      <w:r>
        <w:t>ST segments (elevation/depression indicates ischemia)</w:t>
      </w:r>
    </w:p>
    <w:p>
      <w:pPr>
        <w:pStyle w:val="ListBullet"/>
      </w:pPr>
      <w:r>
        <w:t>T waves (inversions can indicate various conditions)</w:t>
      </w:r>
    </w:p>
    <w:p>
      <w:r>
        <w:t>The attention weights (α) are exported for visualization. This lets doctors see exactly where the model looked.</w:t>
      </w:r>
    </w:p>
    <w:p>
      <w:pPr>
        <w:pStyle w:val="Heading2"/>
      </w:pPr>
      <w:r>
        <w:t>4.4 Lead Attention</w:t>
      </w:r>
    </w:p>
    <w:p>
      <w:r>
        <w:t>After temporal attention, we have one feature vector per lead. Now we ask: "Which leads contributed most to this diagnosis?"</w:t>
      </w:r>
    </w:p>
    <w:p>
      <w:r>
        <w:t>For example:</w:t>
      </w:r>
    </w:p>
    <w:p>
      <w:pPr>
        <w:pStyle w:val="ListBullet"/>
      </w:pPr>
      <w:r>
        <w:t>For inferior MI, leads II, III, and aVF should be important</w:t>
      </w:r>
    </w:p>
    <w:p>
      <w:pPr>
        <w:pStyle w:val="ListBullet"/>
      </w:pPr>
      <w:r>
        <w:t>For lateral MI, leads I, aVL, V5, V6 should light up</w:t>
      </w:r>
    </w:p>
    <w:p>
      <w:pPr>
        <w:pStyle w:val="ListBullet"/>
      </w:pPr>
      <w:r>
        <w:t>For hypertrophy, chest leads V1-V6 are typically relevant</w:t>
      </w:r>
    </w:p>
    <w:p>
      <w:r>
        <w:t>The lead attention weights (β) create a radar chart showing lead importance.</w:t>
      </w:r>
    </w:p>
    <w:p>
      <w:pPr>
        <w:pStyle w:val="Heading2"/>
      </w:pPr>
      <w:r>
        <w:t>4.5 Classification Head</w:t>
      </w:r>
    </w:p>
    <w:p>
      <w:r>
        <w:t>Finally, a simple MLP (Multi-Layer Perceptron) takes the weighted combination and outputs 5 probabilities:</w:t>
      </w:r>
    </w:p>
    <w:p>
      <w:r>
        <w:rPr>
          <w:rFonts w:ascii="Consolas" w:hAnsi="Consolas"/>
          <w:sz w:val="18"/>
        </w:rPr>
        <w:t>Linear(128 → 128) → ReLU → Dropout</w:t>
        <w:br/>
        <w:t>Linear(128 → 64)  → ReLU → Dropout</w:t>
        <w:br/>
        <w:t>Linear(64 → 5)    → Sigmoid</w:t>
      </w:r>
    </w:p>
    <w:p>
      <w:r>
        <w:t>Sigmoid activation means each class is predicted independently (multi-label).</w:t>
      </w:r>
    </w:p>
    <w:p>
      <w:r>
        <w:t>__________________________________________________</w:t>
      </w:r>
    </w:p>
    <w:p>
      <w:pPr>
        <w:pStyle w:val="Heading1"/>
      </w:pPr>
      <w:r>
        <w:t>5. Training</w:t>
      </w:r>
    </w:p>
    <w:p>
      <w:pPr>
        <w:pStyle w:val="Heading2"/>
      </w:pPr>
      <w:r>
        <w:t>5.1 Handling Class Imbalance</w:t>
      </w:r>
    </w:p>
    <w:p>
      <w:r>
        <w:t>Since some conditions are rarer than others, we used class weights in our loss function. We tried different approaches:</w:t>
      </w:r>
    </w:p>
    <w:p>
      <w:pPr>
        <w:pStyle w:val="ListNumber"/>
      </w:pPr>
      <w:r>
        <w:t>Full inverse frequency: Gave too much weight to rare classes</w:t>
      </w:r>
    </w:p>
    <w:p>
      <w:pPr>
        <w:pStyle w:val="ListNumber"/>
      </w:pPr>
      <w:r>
        <w:t>Square root scaling: Balanced approach that worked best</w:t>
      </w:r>
    </w:p>
    <w:p>
      <w:r>
        <w:t>Final weights (sqrt-scaled):</w:t>
      </w:r>
    </w:p>
    <w:p>
      <w:pPr>
        <w:pStyle w:val="ListBullet"/>
      </w:pPr>
      <w:r>
        <w:t>NORM: 1.14</w:t>
      </w:r>
    </w:p>
    <w:p>
      <w:pPr>
        <w:pStyle w:val="ListBullet"/>
      </w:pPr>
      <w:r>
        <w:t>MI: 2.07</w:t>
      </w:r>
    </w:p>
    <w:p>
      <w:pPr>
        <w:pStyle w:val="ListBullet"/>
      </w:pPr>
      <w:r>
        <w:t>STTC: 1.81</w:t>
      </w:r>
    </w:p>
    <w:p>
      <w:pPr>
        <w:pStyle w:val="ListBullet"/>
      </w:pPr>
      <w:r>
        <w:t>CD: 1.86</w:t>
      </w:r>
    </w:p>
    <w:p>
      <w:pPr>
        <w:pStyle w:val="ListBullet"/>
      </w:pPr>
      <w:r>
        <w:t>HYP: 2.93</w:t>
      </w:r>
    </w:p>
    <w:p>
      <w:pPr>
        <w:pStyle w:val="Heading2"/>
      </w:pPr>
      <w:r>
        <w:t>5.2 Training Setup</w:t>
      </w:r>
    </w:p>
    <w:p>
      <w:pPr>
        <w:pStyle w:val="ListBullet"/>
      </w:pPr>
      <w:r>
        <w:t>Optimizer: AdamW (lr=0.001, weight_decay=0.01)</w:t>
      </w:r>
    </w:p>
    <w:p>
      <w:pPr>
        <w:pStyle w:val="ListBullet"/>
      </w:pPr>
      <w:r>
        <w:t>Scheduler: ReduceLROnPlateau (patience=3)</w:t>
      </w:r>
    </w:p>
    <w:p>
      <w:pPr>
        <w:pStyle w:val="ListBullet"/>
      </w:pPr>
      <w:r>
        <w:t>Early Stopping: Patience=5 on validation AUROC</w:t>
      </w:r>
    </w:p>
    <w:p>
      <w:pPr>
        <w:pStyle w:val="ListBullet"/>
      </w:pPr>
      <w:r>
        <w:t>Batch Size: 64</w:t>
      </w:r>
    </w:p>
    <w:p>
      <w:pPr>
        <w:pStyle w:val="ListBullet"/>
      </w:pPr>
      <w:r>
        <w:t>Epochs: 10 (stopped early at best validation)</w:t>
      </w:r>
    </w:p>
    <w:p>
      <w:pPr>
        <w:pStyle w:val="ListBullet"/>
      </w:pPr>
      <w:r>
        <w:t>Hardware: NVIDIA GeForce RTX 2050</w:t>
      </w:r>
    </w:p>
    <w:p>
      <w:pPr>
        <w:pStyle w:val="Heading2"/>
      </w:pPr>
      <w:r>
        <w:t>5.3 Training Progress</w:t>
      </w:r>
    </w:p>
    <w:p>
      <w:pPr>
        <w:jc w:val="center"/>
      </w:pPr>
      <w:r>
        <w:drawing>
          <wp:inline xmlns:a="http://schemas.openxmlformats.org/drawingml/2006/main" xmlns:pic="http://schemas.openxmlformats.org/drawingml/2006/picture">
            <wp:extent cx="5029200" cy="1635971"/>
            <wp:docPr id="4" name="Picture 4"/>
            <wp:cNvGraphicFramePr>
              <a:graphicFrameLocks noChangeAspect="1"/>
            </wp:cNvGraphicFramePr>
            <a:graphic>
              <a:graphicData uri="http://schemas.openxmlformats.org/drawingml/2006/picture">
                <pic:pic>
                  <pic:nvPicPr>
                    <pic:cNvPr id="0" name="05_training_curves.png"/>
                    <pic:cNvPicPr/>
                  </pic:nvPicPr>
                  <pic:blipFill>
                    <a:blip r:embed="rId12"/>
                    <a:stretch>
                      <a:fillRect/>
                    </a:stretch>
                  </pic:blipFill>
                  <pic:spPr>
                    <a:xfrm>
                      <a:off x="0" y="0"/>
                      <a:ext cx="5029200" cy="1635971"/>
                    </a:xfrm>
                    <a:prstGeom prst="rect"/>
                  </pic:spPr>
                </pic:pic>
              </a:graphicData>
            </a:graphic>
          </wp:inline>
        </w:drawing>
      </w:r>
    </w:p>
    <w:p>
      <w:pPr>
        <w:jc w:val="center"/>
      </w:pPr>
      <w:r>
        <w:rPr>
          <w:i/>
        </w:rPr>
        <w:t>Figure: 05 Training Curves</w:t>
      </w:r>
    </w:p>
    <w:p>
      <w:r>
        <w:t>The model converged nicely:</w:t>
      </w:r>
    </w:p>
    <w:p>
      <w:pPr>
        <w:pStyle w:val="ListBullet"/>
      </w:pPr>
      <w:r>
        <w:t>Training loss decreased steadily</w:t>
      </w:r>
    </w:p>
    <w:p>
      <w:pPr>
        <w:pStyle w:val="ListBullet"/>
      </w:pPr>
      <w:r>
        <w:t>Validation loss followed closely (no overfitting)</w:t>
      </w:r>
    </w:p>
    <w:p>
      <w:pPr>
        <w:pStyle w:val="ListBullet"/>
      </w:pPr>
      <w:r>
        <w:t>Best model saved at epoch 9</w:t>
      </w:r>
    </w:p>
    <w:p>
      <w:r>
        <w:t>__________________________________________________</w:t>
      </w:r>
    </w:p>
    <w:p>
      <w:pPr>
        <w:pStyle w:val="Heading1"/>
      </w:pPr>
      <w:r>
        <w:t>6. Results</w:t>
      </w:r>
    </w:p>
    <w:p>
      <w:pPr>
        <w:pStyle w:val="Heading2"/>
      </w:pPr>
      <w:r>
        <w:t>6.1 Overall Performance</w:t>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Validation</w:t>
            </w:r>
          </w:p>
        </w:tc>
        <w:tc>
          <w:tcPr>
            <w:tcW w:type="dxa" w:w="2880"/>
          </w:tcPr>
          <w:p>
            <w:r>
              <w:t>Test</w:t>
            </w:r>
          </w:p>
        </w:tc>
      </w:tr>
      <w:tr>
        <w:tc>
          <w:tcPr>
            <w:tcW w:type="dxa" w:w="2880"/>
          </w:tcPr>
          <w:p>
            <w:r>
              <w:t>AUROC (Macro)</w:t>
            </w:r>
          </w:p>
        </w:tc>
        <w:tc>
          <w:tcPr>
            <w:tcW w:type="dxa" w:w="2880"/>
          </w:tcPr>
          <w:p>
            <w:r>
              <w:t>92.1%</w:t>
            </w:r>
          </w:p>
        </w:tc>
        <w:tc>
          <w:tcPr>
            <w:tcW w:type="dxa" w:w="2880"/>
          </w:tcPr>
          <w:p>
            <w:r>
              <w:t>91.2%</w:t>
            </w:r>
          </w:p>
        </w:tc>
      </w:tr>
      <w:tr>
        <w:tc>
          <w:tcPr>
            <w:tcW w:type="dxa" w:w="2880"/>
          </w:tcPr>
          <w:p>
            <w:r>
              <w:t>F1 Score (Macro)</w:t>
            </w:r>
          </w:p>
        </w:tc>
        <w:tc>
          <w:tcPr>
            <w:tcW w:type="dxa" w:w="2880"/>
          </w:tcPr>
          <w:p>
            <w:r>
              <w:t>69.4%</w:t>
            </w:r>
          </w:p>
        </w:tc>
        <w:tc>
          <w:tcPr>
            <w:tcW w:type="dxa" w:w="2880"/>
          </w:tcPr>
          <w:p>
            <w:r>
              <w:t>69.4%</w:t>
            </w:r>
          </w:p>
        </w:tc>
      </w:tr>
    </w:tbl>
    <w:p/>
    <w:p>
      <w:pPr>
        <w:pStyle w:val="Heading2"/>
      </w:pPr>
      <w:r>
        <w:t>6.2 Per-Class Performance</w:t>
      </w:r>
    </w:p>
    <w:tbl>
      <w:tblPr>
        <w:tblStyle w:val="TableGrid"/>
        <w:tblW w:type="auto" w:w="0"/>
        <w:tblLook w:firstColumn="1" w:firstRow="1" w:lastColumn="0" w:lastRow="0" w:noHBand="0" w:noVBand="1" w:val="04A0"/>
      </w:tblPr>
      <w:tblGrid>
        <w:gridCol w:w="2880"/>
        <w:gridCol w:w="2880"/>
        <w:gridCol w:w="2880"/>
      </w:tblGrid>
      <w:tr>
        <w:tc>
          <w:tcPr>
            <w:tcW w:type="dxa" w:w="2880"/>
          </w:tcPr>
          <w:p>
            <w:r>
              <w:t>Class</w:t>
            </w:r>
          </w:p>
        </w:tc>
        <w:tc>
          <w:tcPr>
            <w:tcW w:type="dxa" w:w="2880"/>
          </w:tcPr>
          <w:p>
            <w:r>
              <w:t>Test AUROC</w:t>
            </w:r>
          </w:p>
        </w:tc>
        <w:tc>
          <w:tcPr>
            <w:tcW w:type="dxa" w:w="2880"/>
          </w:tcPr>
          <w:p>
            <w:r>
              <w:t>Test F1</w:t>
            </w:r>
          </w:p>
        </w:tc>
      </w:tr>
      <w:tr>
        <w:tc>
          <w:tcPr>
            <w:tcW w:type="dxa" w:w="2880"/>
          </w:tcPr>
          <w:p>
            <w:r>
              <w:t>NORM</w:t>
            </w:r>
          </w:p>
        </w:tc>
        <w:tc>
          <w:tcPr>
            <w:tcW w:type="dxa" w:w="2880"/>
          </w:tcPr>
          <w:p>
            <w:r>
              <w:t>93.5%</w:t>
            </w:r>
          </w:p>
        </w:tc>
        <w:tc>
          <w:tcPr>
            <w:tcW w:type="dxa" w:w="2880"/>
          </w:tcPr>
          <w:p>
            <w:r>
              <w:t>82.0%</w:t>
            </w:r>
          </w:p>
        </w:tc>
      </w:tr>
      <w:tr>
        <w:tc>
          <w:tcPr>
            <w:tcW w:type="dxa" w:w="2880"/>
          </w:tcPr>
          <w:p>
            <w:r>
              <w:t>MI</w:t>
            </w:r>
          </w:p>
        </w:tc>
        <w:tc>
          <w:tcPr>
            <w:tcW w:type="dxa" w:w="2880"/>
          </w:tcPr>
          <w:p>
            <w:r>
              <w:t>93.9%</w:t>
            </w:r>
          </w:p>
        </w:tc>
        <w:tc>
          <w:tcPr>
            <w:tcW w:type="dxa" w:w="2880"/>
          </w:tcPr>
          <w:p>
            <w:r>
              <w:t>70.6%</w:t>
            </w:r>
          </w:p>
        </w:tc>
      </w:tr>
      <w:tr>
        <w:tc>
          <w:tcPr>
            <w:tcW w:type="dxa" w:w="2880"/>
          </w:tcPr>
          <w:p>
            <w:r>
              <w:t>STTC</w:t>
            </w:r>
          </w:p>
        </w:tc>
        <w:tc>
          <w:tcPr>
            <w:tcW w:type="dxa" w:w="2880"/>
          </w:tcPr>
          <w:p>
            <w:r>
              <w:t>93.5%</w:t>
            </w:r>
          </w:p>
        </w:tc>
        <w:tc>
          <w:tcPr>
            <w:tcW w:type="dxa" w:w="2880"/>
          </w:tcPr>
          <w:p>
            <w:r>
              <w:t>66.6%</w:t>
            </w:r>
          </w:p>
        </w:tc>
      </w:tr>
      <w:tr>
        <w:tc>
          <w:tcPr>
            <w:tcW w:type="dxa" w:w="2880"/>
          </w:tcPr>
          <w:p>
            <w:r>
              <w:t>CD</w:t>
            </w:r>
          </w:p>
        </w:tc>
        <w:tc>
          <w:tcPr>
            <w:tcW w:type="dxa" w:w="2880"/>
          </w:tcPr>
          <w:p>
            <w:r>
              <w:t>91.0%</w:t>
            </w:r>
          </w:p>
        </w:tc>
        <w:tc>
          <w:tcPr>
            <w:tcW w:type="dxa" w:w="2880"/>
          </w:tcPr>
          <w:p>
            <w:r>
              <w:t>71.2%</w:t>
            </w:r>
          </w:p>
        </w:tc>
      </w:tr>
      <w:tr>
        <w:tc>
          <w:tcPr>
            <w:tcW w:type="dxa" w:w="2880"/>
          </w:tcPr>
          <w:p>
            <w:r>
              <w:t>HYP</w:t>
            </w:r>
          </w:p>
        </w:tc>
        <w:tc>
          <w:tcPr>
            <w:tcW w:type="dxa" w:w="2880"/>
          </w:tcPr>
          <w:p>
            <w:r>
              <w:t>84.9%</w:t>
            </w:r>
          </w:p>
        </w:tc>
        <w:tc>
          <w:tcPr>
            <w:tcW w:type="dxa" w:w="2880"/>
          </w:tcPr>
          <w:p>
            <w:r>
              <w:t>56.7%</w:t>
            </w:r>
          </w:p>
        </w:tc>
      </w:tr>
    </w:tbl>
    <w:p/>
    <w:p>
      <w:pPr>
        <w:jc w:val="center"/>
      </w:pPr>
      <w:r>
        <w:drawing>
          <wp:inline xmlns:a="http://schemas.openxmlformats.org/drawingml/2006/main" xmlns:pic="http://schemas.openxmlformats.org/drawingml/2006/picture">
            <wp:extent cx="5029200" cy="2766861"/>
            <wp:docPr id="5" name="Picture 5"/>
            <wp:cNvGraphicFramePr>
              <a:graphicFrameLocks noChangeAspect="1"/>
            </wp:cNvGraphicFramePr>
            <a:graphic>
              <a:graphicData uri="http://schemas.openxmlformats.org/drawingml/2006/picture">
                <pic:pic>
                  <pic:nvPicPr>
                    <pic:cNvPr id="0" name="04_auroc_per_class.png"/>
                    <pic:cNvPicPr/>
                  </pic:nvPicPr>
                  <pic:blipFill>
                    <a:blip r:embed="rId13"/>
                    <a:stretch>
                      <a:fillRect/>
                    </a:stretch>
                  </pic:blipFill>
                  <pic:spPr>
                    <a:xfrm>
                      <a:off x="0" y="0"/>
                      <a:ext cx="5029200" cy="2766861"/>
                    </a:xfrm>
                    <a:prstGeom prst="rect"/>
                  </pic:spPr>
                </pic:pic>
              </a:graphicData>
            </a:graphic>
          </wp:inline>
        </w:drawing>
      </w:r>
    </w:p>
    <w:p>
      <w:pPr>
        <w:jc w:val="center"/>
      </w:pPr>
      <w:r>
        <w:rPr>
          <w:i/>
        </w:rPr>
        <w:t>Figure: 04 Auroc Per Class</w:t>
      </w:r>
    </w:p>
    <w:p>
      <w:r>
        <w:t>Observations:</w:t>
      </w:r>
    </w:p>
    <w:p>
      <w:pPr>
        <w:pStyle w:val="ListBullet"/>
      </w:pPr>
      <w:r>
        <w:t>NORM, MI, and STTC have excellent AUROC (&gt;93%)</w:t>
      </w:r>
    </w:p>
    <w:p>
      <w:pPr>
        <w:pStyle w:val="ListBullet"/>
      </w:pPr>
      <w:r>
        <w:t>HYP is harder to detect (84.9%), likely because it's rarer and has subtle patterns</w:t>
      </w:r>
    </w:p>
    <w:p>
      <w:pPr>
        <w:pStyle w:val="ListBullet"/>
      </w:pPr>
      <w:r>
        <w:t>F1 scores are lower than AUROC because we use 0.5 threshold (could be optimized)</w:t>
      </w:r>
    </w:p>
    <w:p>
      <w:pPr>
        <w:pStyle w:val="Heading2"/>
      </w:pPr>
      <w:r>
        <w:t>6.3 ROC Curves</w:t>
      </w:r>
    </w:p>
    <w:p>
      <w:pPr>
        <w:jc w:val="center"/>
      </w:pPr>
      <w:r>
        <w:drawing>
          <wp:inline xmlns:a="http://schemas.openxmlformats.org/drawingml/2006/main" xmlns:pic="http://schemas.openxmlformats.org/drawingml/2006/picture">
            <wp:extent cx="5029200" cy="1764928"/>
            <wp:docPr id="6" name="Picture 6"/>
            <wp:cNvGraphicFramePr>
              <a:graphicFrameLocks noChangeAspect="1"/>
            </wp:cNvGraphicFramePr>
            <a:graphic>
              <a:graphicData uri="http://schemas.openxmlformats.org/drawingml/2006/picture">
                <pic:pic>
                  <pic:nvPicPr>
                    <pic:cNvPr id="0" name="06_roc_curves.png"/>
                    <pic:cNvPicPr/>
                  </pic:nvPicPr>
                  <pic:blipFill>
                    <a:blip r:embed="rId14"/>
                    <a:stretch>
                      <a:fillRect/>
                    </a:stretch>
                  </pic:blipFill>
                  <pic:spPr>
                    <a:xfrm>
                      <a:off x="0" y="0"/>
                      <a:ext cx="5029200" cy="1764928"/>
                    </a:xfrm>
                    <a:prstGeom prst="rect"/>
                  </pic:spPr>
                </pic:pic>
              </a:graphicData>
            </a:graphic>
          </wp:inline>
        </w:drawing>
      </w:r>
    </w:p>
    <w:p>
      <w:pPr>
        <w:jc w:val="center"/>
      </w:pPr>
      <w:r>
        <w:rPr>
          <w:i/>
        </w:rPr>
        <w:t>Figure: 06 Roc Curves</w:t>
      </w:r>
    </w:p>
    <w:p>
      <w:r>
        <w:t>The ROC curves show good separation for all classes. The curves are well above the diagonal (random chance), indicating the model learned meaningful patterns.</w:t>
      </w:r>
    </w:p>
    <w:p>
      <w:pPr>
        <w:pStyle w:val="Heading2"/>
      </w:pPr>
      <w:r>
        <w:t>6.4 Confusion Matrices</w:t>
      </w:r>
    </w:p>
    <w:p>
      <w:pPr>
        <w:jc w:val="center"/>
      </w:pPr>
      <w:r>
        <w:drawing>
          <wp:inline xmlns:a="http://schemas.openxmlformats.org/drawingml/2006/main" xmlns:pic="http://schemas.openxmlformats.org/drawingml/2006/picture">
            <wp:extent cx="5029200" cy="1096478"/>
            <wp:docPr id="7" name="Picture 7"/>
            <wp:cNvGraphicFramePr>
              <a:graphicFrameLocks noChangeAspect="1"/>
            </wp:cNvGraphicFramePr>
            <a:graphic>
              <a:graphicData uri="http://schemas.openxmlformats.org/drawingml/2006/picture">
                <pic:pic>
                  <pic:nvPicPr>
                    <pic:cNvPr id="0" name="07_confusion_matrices.png"/>
                    <pic:cNvPicPr/>
                  </pic:nvPicPr>
                  <pic:blipFill>
                    <a:blip r:embed="rId15"/>
                    <a:stretch>
                      <a:fillRect/>
                    </a:stretch>
                  </pic:blipFill>
                  <pic:spPr>
                    <a:xfrm>
                      <a:off x="0" y="0"/>
                      <a:ext cx="5029200" cy="1096478"/>
                    </a:xfrm>
                    <a:prstGeom prst="rect"/>
                  </pic:spPr>
                </pic:pic>
              </a:graphicData>
            </a:graphic>
          </wp:inline>
        </w:drawing>
      </w:r>
    </w:p>
    <w:p>
      <w:pPr>
        <w:jc w:val="center"/>
      </w:pPr>
      <w:r>
        <w:rPr>
          <w:i/>
        </w:rPr>
        <w:t>Figure: 07 Confusion Matrices</w:t>
      </w:r>
    </w:p>
    <w:p>
      <w:r>
        <w:t>The confusion matrices (one per class) show:</w:t>
      </w:r>
    </w:p>
    <w:p>
      <w:pPr>
        <w:pStyle w:val="ListBullet"/>
      </w:pPr>
      <w:r>
        <w:t>True Negatives (top-left): Correctly identified negatives</w:t>
      </w:r>
    </w:p>
    <w:p>
      <w:pPr>
        <w:pStyle w:val="ListBullet"/>
      </w:pPr>
      <w:r>
        <w:t>False Positives (top-right): Incorrectly flagged as positive</w:t>
      </w:r>
    </w:p>
    <w:p>
      <w:pPr>
        <w:pStyle w:val="ListBullet"/>
      </w:pPr>
      <w:r>
        <w:t>False Negatives (bottom-left): Missed cases</w:t>
      </w:r>
    </w:p>
    <w:p>
      <w:pPr>
        <w:pStyle w:val="ListBullet"/>
      </w:pPr>
      <w:r>
        <w:t>True Positives (bottom-right): Correctly identified positives</w:t>
      </w:r>
    </w:p>
    <w:p>
      <w:r>
        <w:t>__________________________________________________</w:t>
      </w:r>
    </w:p>
    <w:p>
      <w:pPr>
        <w:pStyle w:val="Heading1"/>
      </w:pPr>
      <w:r>
        <w:t>7. Explainability</w:t>
      </w:r>
    </w:p>
    <w:p>
      <w:r>
        <w:t>This is what makes TrustECG different from a black box. We can visualize exactly what the model focuses on.</w:t>
      </w:r>
    </w:p>
    <w:p>
      <w:pPr>
        <w:pStyle w:val="Heading2"/>
      </w:pPr>
      <w:r>
        <w:t>7.1 Lead Importance</w:t>
      </w:r>
    </w:p>
    <w:p>
      <w:pPr>
        <w:jc w:val="center"/>
      </w:pPr>
      <w:r>
        <w:drawing>
          <wp:inline xmlns:a="http://schemas.openxmlformats.org/drawingml/2006/main" xmlns:pic="http://schemas.openxmlformats.org/drawingml/2006/picture">
            <wp:extent cx="5029200" cy="4248000"/>
            <wp:docPr id="8" name="Picture 8"/>
            <wp:cNvGraphicFramePr>
              <a:graphicFrameLocks noChangeAspect="1"/>
            </wp:cNvGraphicFramePr>
            <a:graphic>
              <a:graphicData uri="http://schemas.openxmlformats.org/drawingml/2006/picture">
                <pic:pic>
                  <pic:nvPicPr>
                    <pic:cNvPr id="0" name="08_lead_importance.png"/>
                    <pic:cNvPicPr/>
                  </pic:nvPicPr>
                  <pic:blipFill>
                    <a:blip r:embed="rId16"/>
                    <a:stretch>
                      <a:fillRect/>
                    </a:stretch>
                  </pic:blipFill>
                  <pic:spPr>
                    <a:xfrm>
                      <a:off x="0" y="0"/>
                      <a:ext cx="5029200" cy="4248000"/>
                    </a:xfrm>
                    <a:prstGeom prst="rect"/>
                  </pic:spPr>
                </pic:pic>
              </a:graphicData>
            </a:graphic>
          </wp:inline>
        </w:drawing>
      </w:r>
    </w:p>
    <w:p>
      <w:pPr>
        <w:jc w:val="center"/>
      </w:pPr>
      <w:r>
        <w:rPr>
          <w:i/>
        </w:rPr>
        <w:t>Figure: 08 Lead Importance</w:t>
      </w:r>
    </w:p>
    <w:p>
      <w:r>
        <w:t>The radar chart shows which leads the model considers most important for a given prediction. This helps doctors:</w:t>
      </w:r>
    </w:p>
    <w:p>
      <w:pPr>
        <w:pStyle w:val="ListBullet"/>
      </w:pPr>
      <w:r>
        <w:t>Verify the model is looking at clinically relevant leads</w:t>
      </w:r>
    </w:p>
    <w:p>
      <w:pPr>
        <w:pStyle w:val="ListBullet"/>
      </w:pPr>
      <w:r>
        <w:t>Catch cases where the model might be using spurious correlations</w:t>
      </w:r>
    </w:p>
    <w:p>
      <w:pPr>
        <w:pStyle w:val="ListBullet"/>
      </w:pPr>
      <w:r>
        <w:t>Build trust in the AI's reasoning</w:t>
      </w:r>
    </w:p>
    <w:p>
      <w:pPr>
        <w:pStyle w:val="Heading2"/>
      </w:pPr>
      <w:r>
        <w:t>7.2 Temporal Attention Heatmap</w:t>
      </w:r>
    </w:p>
    <w:p>
      <w:r>
        <w:t>The heatmap shows attention across time for each lead. Hot spots indicate:</w:t>
      </w:r>
    </w:p>
    <w:p>
      <w:pPr>
        <w:pStyle w:val="ListBullet"/>
      </w:pPr>
      <w:r>
        <w:t>Where the model focused most attention</w:t>
      </w:r>
    </w:p>
    <w:p>
      <w:pPr>
        <w:pStyle w:val="ListBullet"/>
      </w:pPr>
      <w:r>
        <w:t>Which ECG segments drove the prediction</w:t>
      </w:r>
    </w:p>
    <w:p>
      <w:pPr>
        <w:pStyle w:val="ListBullet"/>
      </w:pPr>
      <w:r>
        <w:t>Potentially clinically relevant regions</w:t>
      </w:r>
    </w:p>
    <w:p>
      <w:pPr>
        <w:pStyle w:val="Heading2"/>
      </w:pPr>
      <w:r>
        <w:t>7.3 Occlusion Sensitivity</w:t>
      </w:r>
    </w:p>
    <w:p>
      <w:r>
        <w:t>We also implemented occlusion analysis: "What happens if we mask out each lead?"</w:t>
      </w:r>
    </w:p>
    <w:p>
      <w:r>
        <w:t>This gives another view of lead importance by measuring how much the prediction changes when each lead is removed. Higher change = more important lead.</w:t>
      </w:r>
    </w:p>
    <w:p>
      <w:r>
        <w:t>__________________________________________________</w:t>
      </w:r>
    </w:p>
    <w:p>
      <w:pPr>
        <w:pStyle w:val="Heading1"/>
      </w:pPr>
      <w:r>
        <w:t>8. Interactive Dashboard</w:t>
      </w:r>
    </w:p>
    <w:p>
      <w:r>
        <w:t>We built a Streamlit web application for easy interaction with the model.</w:t>
      </w:r>
    </w:p>
    <w:p>
      <w:pPr>
        <w:pStyle w:val="Heading2"/>
      </w:pPr>
      <w:r>
        <w:t>8.1 Features</w:t>
      </w:r>
    </w:p>
    <w:p>
      <w:r>
        <w:t>Home Page:</w:t>
      </w:r>
    </w:p>
    <w:p>
      <w:pPr>
        <w:pStyle w:val="ListBullet"/>
      </w:pPr>
      <w:r>
        <w:t>Project overview and metrics</w:t>
      </w:r>
    </w:p>
    <w:p>
      <w:pPr>
        <w:pStyle w:val="ListBullet"/>
      </w:pPr>
      <w:r>
        <w:t>Class descriptions</w:t>
      </w:r>
    </w:p>
    <w:p>
      <w:pPr>
        <w:pStyle w:val="ListBullet"/>
      </w:pPr>
      <w:r>
        <w:t>Dataset statistics</w:t>
      </w:r>
    </w:p>
    <w:p>
      <w:r>
        <w:t>Analyze ECG Page:</w:t>
      </w:r>
    </w:p>
    <w:p>
      <w:pPr>
        <w:pStyle w:val="ListBullet"/>
      </w:pPr>
      <w:r>
        <w:t>Load any ECG from PTB-XL by ID (1-21800)</w:t>
      </w:r>
    </w:p>
    <w:p>
      <w:pPr>
        <w:pStyle w:val="ListBullet"/>
      </w:pPr>
      <w:r>
        <w:t>Generate demo ECG for testing</w:t>
      </w:r>
    </w:p>
    <w:p>
      <w:pPr>
        <w:pStyle w:val="ListBullet"/>
      </w:pPr>
      <w:r>
        <w:t>Real-time preprocessing and prediction</w:t>
      </w:r>
    </w:p>
    <w:p>
      <w:pPr>
        <w:pStyle w:val="ListBullet"/>
      </w:pPr>
      <w:r>
        <w:t>Visualization of 12-lead ECG</w:t>
      </w:r>
    </w:p>
    <w:p>
      <w:r>
        <w:t>Explainability Page:</w:t>
      </w:r>
    </w:p>
    <w:p>
      <w:pPr>
        <w:pStyle w:val="ListBullet"/>
      </w:pPr>
      <w:r>
        <w:t>Lead importance radar chart</w:t>
      </w:r>
    </w:p>
    <w:p>
      <w:pPr>
        <w:pStyle w:val="ListBullet"/>
      </w:pPr>
      <w:r>
        <w:t>Temporal attention heatmap</w:t>
      </w:r>
    </w:p>
    <w:p>
      <w:pPr>
        <w:pStyle w:val="ListBullet"/>
      </w:pPr>
      <w:r>
        <w:t>Occlusion sensitivity analysis</w:t>
      </w:r>
    </w:p>
    <w:p>
      <w:pPr>
        <w:pStyle w:val="ListBullet"/>
      </w:pPr>
      <w:r>
        <w:t>Prediction confidence bars</w:t>
      </w:r>
    </w:p>
    <w:p>
      <w:pPr>
        <w:pStyle w:val="Heading2"/>
      </w:pPr>
      <w:r>
        <w:t>8.2 How to Use</w:t>
      </w:r>
    </w:p>
    <w:p>
      <w:r>
        <w:rPr>
          <w:rFonts w:ascii="Consolas" w:hAnsi="Consolas"/>
          <w:sz w:val="18"/>
        </w:rPr>
        <w:t>streamlit run src/app/streamlit_app.py</w:t>
      </w:r>
    </w:p>
    <w:p>
      <w:pPr>
        <w:pStyle w:val="ListNumber"/>
      </w:pPr>
      <w:r>
        <w:t>Click "Load Model" in the sidebar</w:t>
      </w:r>
    </w:p>
    <w:p>
      <w:pPr>
        <w:pStyle w:val="ListNumber"/>
      </w:pPr>
      <w:r>
        <w:t>Enter an ECG ID (e.g., 9 for a normal ECG)</w:t>
      </w:r>
    </w:p>
    <w:p>
      <w:pPr>
        <w:pStyle w:val="ListNumber"/>
      </w:pPr>
      <w:r>
        <w:t>Click "Load ECG" to see the signal and predictions</w:t>
      </w:r>
    </w:p>
    <w:p>
      <w:pPr>
        <w:pStyle w:val="ListNumber"/>
      </w:pPr>
      <w:r>
        <w:t>Go to "Explainability" page for detailed visualizations</w:t>
      </w:r>
    </w:p>
    <w:p>
      <w:r>
        <w:t>__________________________________________________</w:t>
      </w:r>
    </w:p>
    <w:p>
      <w:pPr>
        <w:pStyle w:val="Heading1"/>
      </w:pPr>
      <w:r>
        <w:t>9. Lessons Learned</w:t>
      </w:r>
    </w:p>
    <w:p>
      <w:pPr>
        <w:pStyle w:val="Heading2"/>
      </w:pPr>
      <w:r>
        <w:t>What Worked Well</w:t>
      </w:r>
    </w:p>
    <w:p>
      <w:pPr>
        <w:pStyle w:val="ListNumber"/>
      </w:pPr>
      <w:r>
        <w:t>Attention mechanisms provide genuine explainability, not just post-hoc explanations</w:t>
      </w:r>
    </w:p>
    <w:p>
      <w:pPr>
        <w:pStyle w:val="ListNumber"/>
      </w:pPr>
      <w:r>
        <w:t>Lead-wise processing makes biological sense and the model learned relevant patterns</w:t>
      </w:r>
    </w:p>
    <w:p>
      <w:pPr>
        <w:pStyle w:val="ListNumber"/>
      </w:pPr>
      <w:r>
        <w:t>Square-root class weighting balanced rare class performance without hurting common classes</w:t>
      </w:r>
    </w:p>
    <w:p>
      <w:pPr>
        <w:pStyle w:val="ListNumber"/>
      </w:pPr>
      <w:r>
        <w:t>Preprocessing (bandpass filter + normalization) was crucial for stable training</w:t>
      </w:r>
    </w:p>
    <w:p>
      <w:pPr>
        <w:pStyle w:val="Heading2"/>
      </w:pPr>
      <w:r>
        <w:t>Challenges We Faced</w:t>
      </w:r>
    </w:p>
    <w:p>
      <w:pPr>
        <w:pStyle w:val="ListNumber"/>
      </w:pPr>
      <w:r>
        <w:t>Class imbalance: Full inverse weighting hurt performance; needed careful tuning</w:t>
      </w:r>
    </w:p>
    <w:p>
      <w:pPr>
        <w:pStyle w:val="ListNumber"/>
      </w:pPr>
      <w:r>
        <w:t>HYP detection: Hardest class, likely needs more specific features</w:t>
      </w:r>
    </w:p>
    <w:p>
      <w:pPr>
        <w:pStyle w:val="ListNumber"/>
      </w:pPr>
      <w:r>
        <w:t>Preprocessing mismatch: Initially forgot to preprocess in the app, causing wrong predictions</w:t>
      </w:r>
    </w:p>
    <w:p>
      <w:pPr>
        <w:pStyle w:val="ListNumber"/>
      </w:pPr>
      <w:r>
        <w:t>Threshold optimization: 0.5 threshold isn't optimal for all classes</w:t>
      </w:r>
    </w:p>
    <w:p>
      <w:pPr>
        <w:pStyle w:val="Heading2"/>
      </w:pPr>
      <w:r>
        <w:t>Future Improvements</w:t>
      </w:r>
    </w:p>
    <w:p>
      <w:pPr>
        <w:pStyle w:val="ListNumber"/>
      </w:pPr>
      <w:r>
        <w:t>Per-class threshold optimization using validation set</w:t>
      </w:r>
    </w:p>
    <w:p>
      <w:pPr>
        <w:pStyle w:val="ListNumber"/>
      </w:pPr>
      <w:r>
        <w:t>Larger model or ensemble for better HYP detection</w:t>
      </w:r>
    </w:p>
    <w:p>
      <w:pPr>
        <w:pStyle w:val="ListNumber"/>
      </w:pPr>
      <w:r>
        <w:t>Additional explainability methods (SHAP, Grad-CAM)</w:t>
      </w:r>
    </w:p>
    <w:p>
      <w:pPr>
        <w:pStyle w:val="ListNumber"/>
      </w:pPr>
      <w:r>
        <w:t>External validation on other ECG datasets</w:t>
      </w:r>
    </w:p>
    <w:p>
      <w:pPr>
        <w:pStyle w:val="ListNumber"/>
      </w:pPr>
      <w:r>
        <w:t>Real-time deployment on edge devices</w:t>
      </w:r>
    </w:p>
    <w:p>
      <w:r>
        <w:t>__________________________________________________</w:t>
      </w:r>
    </w:p>
    <w:p>
      <w:pPr>
        <w:pStyle w:val="Heading1"/>
      </w:pPr>
      <w:r>
        <w:t>10. Conclusion</w:t>
      </w:r>
    </w:p>
    <w:p>
      <w:r>
        <w:t>We successfully built TrustECG, an explainable AI system for multi-label ECG classification. The model achieves strong performance (91.2% test AUROC) while providing interpretable predictions through attention mechanisms.</w:t>
      </w:r>
    </w:p>
    <w:p>
      <w:r>
        <w:t>Key achievements:</w:t>
      </w:r>
    </w:p>
    <w:p>
      <w:pPr>
        <w:pStyle w:val="ListBullet"/>
      </w:pPr>
      <w:r>
        <w:t>✅ Multi-label classification of 5 cardiac conditions</w:t>
      </w:r>
    </w:p>
    <w:p>
      <w:pPr>
        <w:pStyle w:val="ListBullet"/>
      </w:pPr>
      <w:r>
        <w:t>✅ Attention-based explainability</w:t>
      </w:r>
    </w:p>
    <w:p>
      <w:pPr>
        <w:pStyle w:val="ListBullet"/>
      </w:pPr>
      <w:r>
        <w:t>✅ Interactive web dashboard</w:t>
      </w:r>
    </w:p>
    <w:p>
      <w:pPr>
        <w:pStyle w:val="ListBullet"/>
      </w:pPr>
      <w:r>
        <w:t>✅ Comprehensive documentation</w:t>
      </w:r>
    </w:p>
    <w:p>
      <w:r>
        <w:t>This project demonstrates that AI in healthcare doesn't have to be a black box. By building explainability into the architecture itself, we create systems that doctors can actually trust and verify.</w:t>
      </w:r>
    </w:p>
    <w:p>
      <w:r>
        <w:t>__________________________________________________</w:t>
      </w:r>
    </w:p>
    <w:p>
      <w:pPr>
        <w:pStyle w:val="Heading1"/>
      </w:pPr>
      <w:r>
        <w:t>Technical Specifications</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Specification</w:t>
            </w:r>
          </w:p>
        </w:tc>
      </w:tr>
      <w:tr>
        <w:tc>
          <w:tcPr>
            <w:tcW w:type="dxa" w:w="4320"/>
          </w:tcPr>
          <w:p>
            <w:r>
              <w:t>Model</w:t>
            </w:r>
          </w:p>
        </w:tc>
        <w:tc>
          <w:tcPr>
            <w:tcW w:type="dxa" w:w="4320"/>
          </w:tcPr>
          <w:p>
            <w:r>
              <w:t>ExplainableECGNet</w:t>
            </w:r>
          </w:p>
        </w:tc>
      </w:tr>
      <w:tr>
        <w:tc>
          <w:tcPr>
            <w:tcW w:type="dxa" w:w="4320"/>
          </w:tcPr>
          <w:p>
            <w:r>
              <w:t>Parameters</w:t>
            </w:r>
          </w:p>
        </w:tc>
        <w:tc>
          <w:tcPr>
            <w:tcW w:type="dxa" w:w="4320"/>
          </w:tcPr>
          <w:p>
            <w:r>
              <w:t>276,421</w:t>
            </w:r>
          </w:p>
        </w:tc>
      </w:tr>
      <w:tr>
        <w:tc>
          <w:tcPr>
            <w:tcW w:type="dxa" w:w="4320"/>
          </w:tcPr>
          <w:p>
            <w:r>
              <w:t>Input</w:t>
            </w:r>
          </w:p>
        </w:tc>
        <w:tc>
          <w:tcPr>
            <w:tcW w:type="dxa" w:w="4320"/>
          </w:tcPr>
          <w:p>
            <w:r>
              <w:t>12 leads × 1000 samples</w:t>
            </w:r>
          </w:p>
        </w:tc>
      </w:tr>
      <w:tr>
        <w:tc>
          <w:tcPr>
            <w:tcW w:type="dxa" w:w="4320"/>
          </w:tcPr>
          <w:p>
            <w:r>
              <w:t>Output</w:t>
            </w:r>
          </w:p>
        </w:tc>
        <w:tc>
          <w:tcPr>
            <w:tcW w:type="dxa" w:w="4320"/>
          </w:tcPr>
          <w:p>
            <w:r>
              <w:t>5 class probabilities</w:t>
            </w:r>
          </w:p>
        </w:tc>
      </w:tr>
      <w:tr>
        <w:tc>
          <w:tcPr>
            <w:tcW w:type="dxa" w:w="4320"/>
          </w:tcPr>
          <w:p>
            <w:r>
              <w:t>Framework</w:t>
            </w:r>
          </w:p>
        </w:tc>
        <w:tc>
          <w:tcPr>
            <w:tcW w:type="dxa" w:w="4320"/>
          </w:tcPr>
          <w:p>
            <w:r>
              <w:t>PyTorch 2.6.0</w:t>
            </w:r>
          </w:p>
        </w:tc>
      </w:tr>
      <w:tr>
        <w:tc>
          <w:tcPr>
            <w:tcW w:type="dxa" w:w="4320"/>
          </w:tcPr>
          <w:p>
            <w:r>
              <w:t>Training Time</w:t>
            </w:r>
          </w:p>
        </w:tc>
        <w:tc>
          <w:tcPr>
            <w:tcW w:type="dxa" w:w="4320"/>
          </w:tcPr>
          <w:p>
            <w:r>
              <w:t>~10 minutes on RTX 2050</w:t>
            </w:r>
          </w:p>
        </w:tc>
      </w:tr>
      <w:tr>
        <w:tc>
          <w:tcPr>
            <w:tcW w:type="dxa" w:w="4320"/>
          </w:tcPr>
          <w:p>
            <w:r>
              <w:t>Inference Time</w:t>
            </w:r>
          </w:p>
        </w:tc>
        <w:tc>
          <w:tcPr>
            <w:tcW w:type="dxa" w:w="4320"/>
          </w:tcPr>
          <w:p>
            <w:r>
              <w:t>~10ms per ECG</w:t>
            </w:r>
          </w:p>
        </w:tc>
      </w:tr>
    </w:tbl>
    <w:p/>
    <w:p>
      <w:r>
        <w:t>__________________________________________________</w:t>
      </w:r>
    </w:p>
    <w:p>
      <w:pPr>
        <w:pStyle w:val="Heading1"/>
      </w:pPr>
      <w:r>
        <w:t>References</w:t>
      </w:r>
    </w:p>
    <w:p>
      <w:pPr>
        <w:pStyle w:val="ListNumber"/>
      </w:pPr>
      <w:r>
        <w:t>Wagner, P., et al. "PTB-XL, a large publicly available electrocardiography dataset." Scientific Data 7.1 (2020): 1-15.</w:t>
      </w:r>
    </w:p>
    <w:p>
      <w:pPr>
        <w:pStyle w:val="ListNumber"/>
      </w:pPr>
      <w:r>
        <w:t>Vaswani, A., et al. "Attention is all you need." NeurIPS 2017.</w:t>
      </w:r>
    </w:p>
    <w:p>
      <w:pPr>
        <w:pStyle w:val="ListNumber"/>
      </w:pPr>
      <w:r>
        <w:t>He, K., et al. "Deep residual learning for image recognition." CVPR 2016.</w:t>
      </w:r>
    </w:p>
    <w:p>
      <w:r>
        <w:t>__________________________________________________</w:t>
      </w:r>
    </w:p>
    <w:p>
      <w:pPr>
        <w:pStyle w:val="Heading1"/>
      </w:pPr>
      <w:r>
        <w:t>Appendix: Figures List</w:t>
      </w:r>
    </w:p>
    <w:p>
      <w:pPr>
        <w:pStyle w:val="ListNumber"/>
      </w:pPr>
      <w:r>
        <w:t>`01_class_distribution.png` - Distribution of cardiac classes in dataset</w:t>
      </w:r>
    </w:p>
    <w:p>
      <w:pPr>
        <w:pStyle w:val="ListNumber"/>
      </w:pPr>
      <w:r>
        <w:t>`02_co_occurrence.png` - Co-occurrence matrix of multi-label conditions</w:t>
      </w:r>
    </w:p>
    <w:p>
      <w:pPr>
        <w:pStyle w:val="ListNumber"/>
      </w:pPr>
      <w:r>
        <w:t>`03_sample_12lead_ecg.png` - Example 12-lead ECG visualization</w:t>
      </w:r>
    </w:p>
    <w:p>
      <w:pPr>
        <w:pStyle w:val="ListNumber"/>
      </w:pPr>
      <w:r>
        <w:t>`04_auroc_per_class.png` - AUROC scores for each class</w:t>
      </w:r>
    </w:p>
    <w:p>
      <w:pPr>
        <w:pStyle w:val="ListNumber"/>
      </w:pPr>
      <w:r>
        <w:t>`05_training_curves.png` - Training and validation loss curves</w:t>
      </w:r>
    </w:p>
    <w:p>
      <w:pPr>
        <w:pStyle w:val="ListNumber"/>
      </w:pPr>
      <w:r>
        <w:t>`06_roc_curves.png` - ROC curves for all classes</w:t>
      </w:r>
    </w:p>
    <w:p>
      <w:pPr>
        <w:pStyle w:val="ListNumber"/>
      </w:pPr>
      <w:r>
        <w:t>`07_confusion_matrices.png` - Confusion matrices per class</w:t>
      </w:r>
    </w:p>
    <w:p>
      <w:pPr>
        <w:pStyle w:val="ListNumber"/>
      </w:pPr>
      <w:r>
        <w:t>`08_lead_importance.png` - Lead attention visualization</w:t>
      </w:r>
    </w:p>
    <w:p>
      <w:pPr>
        <w:pStyle w:val="ListNumber"/>
      </w:pPr>
      <w:r>
        <w:t>`High-level-architecture-diagram.png` - System overview</w:t>
      </w:r>
    </w:p>
    <w:p>
      <w:pPr>
        <w:pStyle w:val="ListNumber"/>
      </w:pPr>
      <w:r>
        <w:t>`detailed-architecture-diagram.png` - Detailed model architecture</w:t>
      </w:r>
    </w:p>
    <w:p>
      <w:r>
        <w:t>__________________________________________________</w:t>
      </w:r>
    </w:p>
    <w:p>
      <w:r>
        <w:t>Report generated for TrustECG v1.0</w:t>
      </w:r>
    </w:p>
    <w:p>
      <w:r>
        <w:t>February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