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color w:val="0F2743"/>
          <w:sz w:val="56"/>
          <w:szCs w:val="56"/>
        </w:rPr>
        <w:t>AIBridge</w:t>
      </w:r>
    </w:p>
    <w:p>
      <w:pPr>
        <w:pStyle w:val="Normal"/>
        <w:jc w:val="center"/>
        <w:rPr/>
      </w:pPr>
      <w:r>
        <w:rPr>
          <w:b/>
          <w:color w:val="00A6A6"/>
          <w:sz w:val="36"/>
        </w:rPr>
        <w:t>Business Solution &amp; C-Suite Pilot Brief</w:t>
      </w:r>
    </w:p>
    <w:p>
      <w:pPr>
        <w:pStyle w:val="Normal"/>
        <w:jc w:val="center"/>
        <w:rPr/>
      </w:pPr>
      <w:r>
        <w:rPr>
          <w:i/>
          <w:iCs/>
          <w:color w:val="5A646E"/>
          <w:sz w:val="20"/>
          <w:szCs w:val="20"/>
        </w:rPr>
        <w:t>Executive Pilot Brief • Controlled Evaluation Framework • Business Value Validation</w:t>
      </w:r>
    </w:p>
    <w:p>
      <w:pPr>
        <w:pStyle w:val="Heading1"/>
        <w:rPr/>
      </w:pPr>
      <w:r>
        <w:rPr/>
        <w:t>Executive Positioning</w:t>
      </w:r>
    </w:p>
    <w:p>
      <w:pPr>
        <w:pStyle w:val="Normal"/>
        <w:rPr/>
      </w:pPr>
      <w:r>
        <w:rPr>
          <w:b/>
          <w:bCs/>
        </w:rPr>
        <w:t xml:space="preserve">Business solution: </w:t>
      </w:r>
      <w:r>
        <w:rPr/>
        <w:t>AI-enabled enterprise data integration, data operations automation, and business intelligence acceleration platform.</w:t>
      </w:r>
    </w:p>
    <w:p>
      <w:pPr>
        <w:pStyle w:val="Normal"/>
        <w:rPr/>
      </w:pPr>
      <w:r>
        <w:rPr/>
        <w:t>In business terms, AIBridge is not positioned as another standalone AI tool. It is a data operations platform designed to connect with existing enterprise systems, interpret existing data logic, automate data movement and preparation, and make reporting and analysis accessible through guided, plain-English interaction. The platform is intended to help organizations configure, protect, and continuously improve the mission-critical data flows that differentiate their business.</w:t>
      </w:r>
    </w:p>
    <w:p>
      <w:pPr>
        <w:pStyle w:val="Heading1"/>
        <w:rPr/>
      </w:pPr>
      <w:r>
        <w:rPr/>
        <w:t>1. What It Is</w:t>
      </w:r>
    </w:p>
    <w:tbl>
      <w:tblPr>
        <w:tblW w:w="100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35"/>
        <w:gridCol w:w="5035"/>
      </w:tblGrid>
      <w:tr>
        <w:trPr/>
        <w:tc>
          <w:tcPr>
            <w:tcW w:w="5035" w:type="dxa"/>
            <w:tcBorders>
              <w:top w:val="single" w:sz="4" w:space="0" w:color="000000"/>
              <w:start w:val="single" w:sz="4" w:space="0" w:color="000000"/>
              <w:bottom w:val="single" w:sz="4" w:space="0" w:color="000000"/>
              <w:end w:val="single" w:sz="4" w:space="0" w:color="000000"/>
            </w:tcBorders>
            <w:shd w:color="auto" w:fill="0F2743" w:val="clear"/>
            <w:vAlign w:val="center"/>
          </w:tcPr>
          <w:p>
            <w:pPr>
              <w:pStyle w:val="Normal"/>
              <w:spacing w:lineRule="auto" w:line="240" w:before="0" w:after="0"/>
              <w:rPr/>
            </w:pPr>
            <w:r>
              <w:rPr>
                <w:b/>
                <w:color w:val="FFFFFF"/>
              </w:rPr>
              <w:t>Dimension</w:t>
            </w:r>
          </w:p>
        </w:tc>
        <w:tc>
          <w:tcPr>
            <w:tcW w:w="5035" w:type="dxa"/>
            <w:tcBorders>
              <w:top w:val="single" w:sz="4" w:space="0" w:color="000000"/>
              <w:start w:val="single" w:sz="4" w:space="0" w:color="000000"/>
              <w:bottom w:val="single" w:sz="4" w:space="0" w:color="000000"/>
              <w:end w:val="single" w:sz="4" w:space="0" w:color="000000"/>
            </w:tcBorders>
            <w:shd w:color="auto" w:fill="0F2743" w:val="clear"/>
            <w:vAlign w:val="center"/>
          </w:tcPr>
          <w:p>
            <w:pPr>
              <w:pStyle w:val="Normal"/>
              <w:spacing w:lineRule="auto" w:line="240" w:before="0" w:after="0"/>
              <w:rPr/>
            </w:pPr>
            <w:r>
              <w:rPr>
                <w:b/>
                <w:color w:val="FFFFFF"/>
              </w:rPr>
              <w:t>Business Interpretation</w:t>
            </w:r>
          </w:p>
        </w:tc>
      </w:tr>
      <w:tr>
        <w:trPr/>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Business category</w:t>
            </w:r>
          </w:p>
        </w:tc>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Enterprise data integration, data operations automation, migration assistance, and business intelligence enablement.</w:t>
            </w:r>
          </w:p>
        </w:tc>
      </w:tr>
      <w:tr>
        <w:trPr/>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Primary users</w:t>
            </w:r>
          </w:p>
        </w:tc>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Data and IT teams first; business leaders and operating teams benefit from faster access to governed reports, trusted answers, and on-demand executive summary information.</w:t>
            </w:r>
          </w:p>
        </w:tc>
      </w:tr>
      <w:tr>
        <w:trPr/>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Deployment</w:t>
            </w:r>
          </w:p>
        </w:tc>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SaaS or private/on-premises deployment.</w:t>
            </w:r>
          </w:p>
        </w:tc>
      </w:tr>
      <w:tr>
        <w:trPr/>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Core promise</w:t>
            </w:r>
          </w:p>
        </w:tc>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Reduce the specialist effort and elapsed time required to connect, organize, automate, migrate, document, and report on company data.</w:t>
            </w:r>
          </w:p>
        </w:tc>
      </w:tr>
      <w:tr>
        <w:trPr/>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Differentiator</w:t>
            </w:r>
          </w:p>
        </w:tc>
        <w:tc>
          <w:tcPr>
            <w:tcW w:w="50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Designed to work with the company’s existing data estate rather than forcing a clean-sheet rebuild. For startups, new operations, and modernization programs, AIBridge can shorten day-one deployment timelines, reduce sunk cost, lower operating cost, and improve total cost of ownership.</w:t>
            </w:r>
          </w:p>
        </w:tc>
      </w:tr>
    </w:tbl>
    <w:p>
      <w:pPr>
        <w:pStyle w:val="Heading1"/>
        <w:rPr/>
      </w:pPr>
      <w:r>
        <w:rPr/>
        <w:t>2. What Business Problem Is It Solving?</w:t>
      </w:r>
    </w:p>
    <w:p>
      <w:pPr>
        <w:pStyle w:val="ListBullet"/>
        <w:numPr>
          <w:ilvl w:val="0"/>
          <w:numId w:val="1"/>
        </w:numPr>
        <w:rPr/>
      </w:pPr>
      <w:r>
        <w:rPr/>
        <w:t>Enterprise data is fragmented across databases, files, warehouses, scripts, and legacy ETL tools.</w:t>
      </w:r>
    </w:p>
    <w:p>
      <w:pPr>
        <w:pStyle w:val="ListBullet"/>
        <w:numPr>
          <w:ilvl w:val="0"/>
          <w:numId w:val="1"/>
        </w:numPr>
        <w:rPr/>
      </w:pPr>
      <w:r>
        <w:rPr/>
        <w:t>Routine data engineering work consumes scarce specialist capacity and slows delivery of business outputs and information.</w:t>
      </w:r>
    </w:p>
    <w:p>
      <w:pPr>
        <w:pStyle w:val="ListBullet"/>
        <w:numPr>
          <w:ilvl w:val="0"/>
          <w:numId w:val="1"/>
        </w:numPr>
        <w:rPr/>
      </w:pPr>
      <w:r>
        <w:rPr/>
        <w:t>Legacy migrations are risky because business rules and transformation logic are embedded in older systems, scripts, and institutional knowledge. The challenge is no longer limited to static variables; high-frequency business, regulatory, and market changes require companies to keep pace without destabilizing core operations.</w:t>
      </w:r>
    </w:p>
    <w:p>
      <w:pPr>
        <w:pStyle w:val="ListBullet"/>
        <w:numPr>
          <w:ilvl w:val="0"/>
          <w:numId w:val="1"/>
        </w:numPr>
        <w:rPr/>
      </w:pPr>
      <w:r>
        <w:rPr/>
        <w:t>Business teams have to wait for  technical teams to create new pipelines, data preparation, dashboards, and reports.</w:t>
      </w:r>
    </w:p>
    <w:p>
      <w:pPr>
        <w:pStyle w:val="ListBullet"/>
        <w:numPr>
          <w:ilvl w:val="0"/>
          <w:numId w:val="1"/>
        </w:numPr>
        <w:rPr/>
      </w:pPr>
      <w:r>
        <w:rPr/>
        <w:t>Documentation and validation can be inconsistent, making change harder to govern and audit.</w:t>
      </w:r>
    </w:p>
    <w:p>
      <w:pPr>
        <w:pStyle w:val="Normal"/>
        <w:rPr/>
      </w:pPr>
      <w:r>
        <w:rPr/>
        <w:t>The business case is operational: shorten the path from fragmented or legacy data to trusted, usable business information while reducing repetitive engineering effort, improving governance, and avoiding unnecessary rip-and-replace programs.</w:t>
      </w:r>
    </w:p>
    <w:p>
      <w:pPr>
        <w:pStyle w:val="Heading1"/>
        <w:rPr/>
      </w:pPr>
      <w:r>
        <w:rPr/>
        <w:t>3. High-Level: How It Solves the Problem</w:t>
      </w:r>
    </w:p>
    <w:p>
      <w:pPr>
        <w:pStyle w:val="Normal"/>
        <w:rPr/>
      </w:pPr>
      <w:r>
        <w:rPr>
          <w:b/>
          <w:color w:val="00A6A6"/>
        </w:rPr>
        <w:t xml:space="preserve">CONNECT — </w:t>
      </w:r>
      <w:r>
        <w:rPr/>
        <w:t>Connects to existing databases, files, warehouses, code repositories, and supported ETL exports.</w:t>
      </w:r>
    </w:p>
    <w:p>
      <w:pPr>
        <w:pStyle w:val="Normal"/>
        <w:rPr/>
      </w:pPr>
      <w:r>
        <w:rPr>
          <w:b/>
          <w:color w:val="00A6A6"/>
        </w:rPr>
        <w:t xml:space="preserve">DISCOVER — </w:t>
      </w:r>
      <w:r>
        <w:rPr/>
        <w:t>Scans schemas, existing logic, transformations, naming conventions, and data relationships.</w:t>
      </w:r>
    </w:p>
    <w:p>
      <w:pPr>
        <w:pStyle w:val="Normal"/>
        <w:rPr/>
      </w:pPr>
      <w:r>
        <w:rPr>
          <w:b/>
          <w:color w:val="00A6A6"/>
        </w:rPr>
        <w:t xml:space="preserve">CONFIRM — </w:t>
      </w:r>
      <w:r>
        <w:rPr/>
        <w:t>Presents its understanding for human review before assumptions are acted upon.</w:t>
      </w:r>
    </w:p>
    <w:p>
      <w:pPr>
        <w:pStyle w:val="Normal"/>
        <w:rPr/>
      </w:pPr>
      <w:r>
        <w:rPr>
          <w:b/>
          <w:color w:val="00A6A6"/>
        </w:rPr>
        <w:t xml:space="preserve">BUILD / MIGRATE — </w:t>
      </w:r>
      <w:r>
        <w:rPr/>
        <w:t>Generates or reconstructs data pipelines and modern equivalents of legacy logic in smaller executable steps.</w:t>
      </w:r>
    </w:p>
    <w:p>
      <w:pPr>
        <w:pStyle w:val="Normal"/>
        <w:rPr/>
      </w:pPr>
      <w:r>
        <w:rPr>
          <w:b/>
          <w:color w:val="00A6A6"/>
        </w:rPr>
        <w:t xml:space="preserve">VALIDATE &amp; DOCUMENT — </w:t>
      </w:r>
      <w:r>
        <w:rPr/>
        <w:t>Runs checks and creates records of what was built or moved.</w:t>
      </w:r>
    </w:p>
    <w:p>
      <w:pPr>
        <w:pStyle w:val="Normal"/>
        <w:rPr/>
      </w:pPr>
      <w:r>
        <w:rPr>
          <w:b/>
          <w:color w:val="00A6A6"/>
        </w:rPr>
        <w:t xml:space="preserve">DELIVER — </w:t>
      </w:r>
      <w:r>
        <w:rPr/>
        <w:t>Supports dashboards, reports, and plain-English questions over prepared data.</w:t>
      </w:r>
    </w:p>
    <w:p>
      <w:pPr>
        <w:pStyle w:val="Heading1"/>
        <w:rPr/>
      </w:pPr>
      <w:r>
        <w:rPr/>
        <w:t>4. The Promise</w:t>
      </w:r>
    </w:p>
    <w:p>
      <w:pPr>
        <w:pStyle w:val="Normal"/>
        <w:rPr/>
      </w:pPr>
      <w:r>
        <w:rPr/>
        <w:t>The product promise is concentrated in four business outcomes: gather, organize, automate, and understand.</w:t>
      </w:r>
    </w:p>
    <w:p>
      <w:pPr>
        <w:pStyle w:val="Normal"/>
        <w:rPr/>
      </w:pPr>
      <w:r>
        <w:rPr/>
        <w:t>The migration and plug-in-place workflows provide a practical operating model: ingest existing data, structure it, automate recurring flows, support reporting, and reuse validated enterprise logic rather than forcing a rebuild.</w:t>
      </w:r>
    </w:p>
    <w:p>
      <w:pPr>
        <w:pStyle w:val="Normal"/>
        <w:rPr/>
      </w:pPr>
      <w:r>
        <w:rPr/>
        <w:t>The core platform is pilot-ready; however, the Migration Agent is environment-specific and should be hardened in place against the customer’s systems, controls, and operating constraints.</w:t>
      </w:r>
    </w:p>
    <w:p>
      <w:pPr>
        <w:pStyle w:val="Normal"/>
        <w:rPr/>
      </w:pPr>
      <w:r>
        <w:rPr/>
        <w:t>Real-world customer data, security controls, compliance obligations, access patterns, and operational workflows are deployment-specific layers best finalized inside each customer environment. The recommended deployment model begins with a controlled pilot that validates proof of concept while identifying integration requirements unique to the business.</w:t>
      </w:r>
    </w:p>
    <w:p>
      <w:pPr>
        <w:pStyle w:val="Heading1"/>
        <w:rPr/>
      </w:pPr>
      <w:r>
        <w:rPr/>
        <w:t>5. Purpose of the Pilot</w:t>
      </w:r>
    </w:p>
    <w:p>
      <w:pPr>
        <w:pStyle w:val="Normal"/>
        <w:rPr/>
      </w:pPr>
      <w:r>
        <w:rPr>
          <w:b/>
          <w:bCs/>
          <w:color w:val="0F2743"/>
        </w:rPr>
        <w:t>Pilot</w:t>
      </w:r>
      <w:r>
        <w:rPr>
          <w:b/>
          <w:color w:val="0F2743"/>
        </w:rPr>
        <w:t xml:space="preserve"> focus</w:t>
      </w:r>
      <w:r>
        <w:rPr>
          <w:b/>
          <w:bCs/>
          <w:color w:val="0F2743"/>
        </w:rPr>
        <w:t xml:space="preserve">: </w:t>
      </w:r>
      <w:r>
        <w:rPr/>
        <w:t>The pilot should evaluate business outcomes enabled by the technology: faster change, reduced backlog, lower migration risk, stronger documentation, and quicker access to decision-ready data.</w:t>
      </w:r>
    </w:p>
    <w:p>
      <w:pPr>
        <w:pStyle w:val="Normal"/>
        <w:rPr/>
      </w:pPr>
      <w:r>
        <w:rPr>
          <w:b/>
          <w:color w:val="0F2743"/>
        </w:rPr>
        <w:t xml:space="preserve">Pilot </w:t>
      </w:r>
      <w:r>
        <w:rPr>
          <w:b/>
          <w:bCs/>
          <w:color w:val="0F2743"/>
        </w:rPr>
        <w:t xml:space="preserve">scope: </w:t>
      </w:r>
      <w:r>
        <w:rPr/>
        <w:t>One business domain, one to two source systems, a limited set of pipelines or reports, and a 30–45 day evaluation window focused on pilot launch requirements, integration fit, and measurable business value.</w:t>
      </w:r>
    </w:p>
    <w:p>
      <w:pPr>
        <w:pStyle w:val="Normal"/>
        <w:rPr/>
      </w:pPr>
      <w:r>
        <w:rPr>
          <w:b/>
          <w:color w:val="0F2743"/>
        </w:rPr>
        <w:t xml:space="preserve">Pilot success criteria: </w:t>
      </w:r>
      <w:r>
        <w:rPr/>
        <w:t>Baseline (pain points) current elapsed time, engineering hours, error/rework rate, documentation completeness, and time-to-report; compare pilot results against those baselines.</w:t>
      </w:r>
    </w:p>
    <w:p>
      <w:pPr>
        <w:pStyle w:val="Normal"/>
        <w:rPr/>
      </w:pPr>
      <w:r>
        <w:rPr>
          <w:b/>
          <w:color w:val="0F2743"/>
        </w:rPr>
        <w:t xml:space="preserve">Business must drive technology: </w:t>
      </w:r>
      <w:r>
        <w:rPr/>
        <w:t>No autonomous production changes. Discovery and generated logic are reviewed, approved, tested, and promoted through the client’s normal controls.</w:t>
      </w:r>
    </w:p>
    <w:p>
      <w:pPr>
        <w:pStyle w:val="Normal"/>
        <w:rPr/>
      </w:pPr>
      <w:r>
        <w:rPr>
          <w:b/>
          <w:color w:val="0F2743"/>
        </w:rPr>
        <w:t xml:space="preserve">Business </w:t>
      </w:r>
      <w:r>
        <w:rPr>
          <w:b/>
          <w:bCs/>
          <w:color w:val="0F2743"/>
        </w:rPr>
        <w:t>logic and machine logic</w:t>
      </w:r>
      <w:r>
        <w:rPr>
          <w:b/>
          <w:color w:val="0F2743"/>
        </w:rPr>
        <w:t xml:space="preserve">: </w:t>
      </w:r>
      <w:r>
        <w:rPr/>
        <w:t>For the pilot, data access, credentials, encryption, logging, network boundaries, model and data handling, retention, role-based access, and rollback procedures must be defined before any controlled execution. The pilot should identify gaps, required modifications, and interface needs, then document a clear mitigation path for each item as part of the success evaluation.</w:t>
      </w:r>
    </w:p>
    <w:p>
      <w:pPr>
        <w:pStyle w:val="Normal"/>
        <w:rPr/>
      </w:pPr>
      <w:r>
        <w:rPr>
          <w:b/>
          <w:bCs/>
          <w:color w:val="0F2743"/>
        </w:rPr>
        <w:t xml:space="preserve">Integration </w:t>
      </w:r>
      <w:r>
        <w:rPr>
          <w:b/>
          <w:color w:val="0F2743"/>
        </w:rPr>
        <w:t xml:space="preserve">boundaries: </w:t>
      </w:r>
      <w:r>
        <w:rPr/>
        <w:t>Databases, CRM systems, warehouses, ETL exports, Git repositories, BI tools, and supported deployment modes should be classified during discovery. Standard integrations should be treated as installs with minor configuration; unsupported modes should be evaluated separately for custom integration cost, risk, and timeline.</w:t>
      </w:r>
    </w:p>
    <w:p>
      <w:pPr>
        <w:pStyle w:val="Normal"/>
        <w:rPr/>
      </w:pPr>
      <w:r>
        <w:rPr>
          <w:b/>
          <w:bCs/>
          <w:color w:val="0F2743"/>
        </w:rPr>
        <w:t xml:space="preserve">Product target: </w:t>
      </w:r>
      <w:r>
        <w:rPr/>
        <w:t>AIBridge will test ambitious value targets, including materially lower cost, faster delivery, improved efficiency, and higher reliability across selected workflows. If the maximum targets are not achieved in a specific pilot, the evaluation should still demonstrate whether the overall business-value proposition is strong enough to justify expansion.</w:t>
      </w:r>
    </w:p>
    <w:p>
      <w:pPr>
        <w:pStyle w:val="Normal"/>
        <w:rPr/>
      </w:pPr>
      <w:r>
        <w:rPr>
          <w:b/>
          <w:color w:val="0F2743"/>
        </w:rPr>
        <w:t>Risk</w:t>
      </w:r>
      <w:r>
        <w:rPr>
          <w:b/>
          <w:bCs/>
          <w:color w:val="0F2743"/>
        </w:rPr>
        <w:t xml:space="preserve"> control</w:t>
      </w:r>
      <w:r>
        <w:rPr>
          <w:b/>
          <w:color w:val="0F2743"/>
        </w:rPr>
        <w:t xml:space="preserve">: </w:t>
      </w:r>
      <w:r>
        <w:rPr/>
        <w:t>During the pilot, AIBridge will not execute uncontrolled writes, replace source systems, migrate data without approval, or support production cutover without acceptance testing. The preferred mitigation model is a parallel, isolated test bed that insulates business operations while allowing the customer and AIBridge teams to validate performance, fit, and controls.</w:t>
      </w:r>
    </w:p>
    <w:p>
      <w:pPr>
        <w:pStyle w:val="Heading1"/>
        <w:rPr/>
      </w:pPr>
      <w:r>
        <w:rPr/>
        <w:t>6. Pilot Proposition</w:t>
      </w:r>
    </w:p>
    <w:p>
      <w:pPr>
        <w:pStyle w:val="Normal"/>
        <w:rPr/>
      </w:pPr>
      <w:r>
        <w:rPr/>
        <w:t>Approve a controlled pilot to determine whether AIBridge can reduce the time and specialist effort required to understand, automate, and document an existing data workflow—without replacing the current data platform or weakening enterprise controls.</w:t>
      </w:r>
    </w:p>
    <w:tbl>
      <w:tblPr>
        <w:tblW w:w="100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34"/>
        <w:gridCol w:w="5036"/>
      </w:tblGrid>
      <w:tr>
        <w:trPr/>
        <w:tc>
          <w:tcPr>
            <w:tcW w:w="5034" w:type="dxa"/>
            <w:tcBorders>
              <w:top w:val="single" w:sz="4" w:space="0" w:color="000000"/>
              <w:start w:val="single" w:sz="4" w:space="0" w:color="000000"/>
              <w:bottom w:val="single" w:sz="4" w:space="0" w:color="000000"/>
              <w:end w:val="single" w:sz="4" w:space="0" w:color="000000"/>
            </w:tcBorders>
            <w:shd w:color="auto" w:fill="0F2743" w:val="clear"/>
          </w:tcPr>
          <w:p>
            <w:pPr>
              <w:pStyle w:val="Normal"/>
              <w:spacing w:lineRule="auto" w:line="240" w:before="0" w:after="0"/>
              <w:rPr/>
            </w:pPr>
            <w:r>
              <w:rPr>
                <w:b/>
                <w:color w:val="FFFFFF"/>
              </w:rPr>
              <w:t>Pilot Element</w:t>
            </w:r>
          </w:p>
        </w:tc>
        <w:tc>
          <w:tcPr>
            <w:tcW w:w="5036" w:type="dxa"/>
            <w:tcBorders>
              <w:top w:val="single" w:sz="4" w:space="0" w:color="000000"/>
              <w:start w:val="single" w:sz="4" w:space="0" w:color="000000"/>
              <w:bottom w:val="single" w:sz="4" w:space="0" w:color="000000"/>
              <w:end w:val="single" w:sz="4" w:space="0" w:color="000000"/>
            </w:tcBorders>
            <w:shd w:color="auto" w:fill="0F2743" w:val="clear"/>
          </w:tcPr>
          <w:p>
            <w:pPr>
              <w:pStyle w:val="Normal"/>
              <w:spacing w:lineRule="auto" w:line="240" w:before="0" w:after="0"/>
              <w:rPr/>
            </w:pPr>
            <w:r>
              <w:rPr>
                <w:b/>
                <w:color w:val="FFFFFF"/>
              </w:rPr>
              <w:t>Recommended Scope</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Business case</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Select one painful, repetitive data workflow with a known backlog or migration burden.</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Environment</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Non-production/sandbox or tightly controlled private deployment.</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Duration</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30–45 days.</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Inputs</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1–2 representative sources plus existing transformation logic/documentation.</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Outputs</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Working pipeline or migrated logic, validation results, generated documentation, and one business report/dashboard.</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Success measures</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Time, specialist hours, accuracy, completeness, repeatability, documentation quality, and control compliance.</w:t>
            </w:r>
          </w:p>
        </w:tc>
      </w:tr>
      <w:tr>
        <w:trPr/>
        <w:tc>
          <w:tcPr>
            <w:tcW w:w="503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Go / No-Go gate</w:t>
            </w:r>
          </w:p>
        </w:tc>
        <w:tc>
          <w:tcPr>
            <w:tcW w:w="50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t>Proceed only if business value and control requirements are both demonstrated.</w:t>
            </w:r>
          </w:p>
        </w:tc>
      </w:tr>
    </w:tbl>
    <w:p>
      <w:pPr>
        <w:pStyle w:val="Heading1"/>
        <w:rPr/>
      </w:pPr>
      <w:r>
        <w:rPr/>
        <w:t>7. Summary</w:t>
      </w:r>
    </w:p>
    <w:p>
      <w:pPr>
        <w:pStyle w:val="ListBullet"/>
        <w:numPr>
          <w:ilvl w:val="0"/>
          <w:numId w:val="1"/>
        </w:numPr>
        <w:rPr/>
      </w:pPr>
      <w:r>
        <w:rPr/>
        <w:t>1. AIBridge is a business solution designed to improve cost control, operational efficiency, and customer-facing responsiveness by accelerating trusted data workflows.</w:t>
      </w:r>
    </w:p>
    <w:p>
      <w:pPr>
        <w:pStyle w:val="ListBullet"/>
        <w:numPr>
          <w:ilvl w:val="0"/>
          <w:numId w:val="1"/>
        </w:numPr>
        <w:rPr/>
      </w:pPr>
      <w:r>
        <w:rPr/>
        <w:t>2. The business problem is fragmented data, specialist bottlenecks, slow change cycles, weak documentation, and elevated migration risk.</w:t>
      </w:r>
    </w:p>
    <w:p>
      <w:pPr>
        <w:pStyle w:val="ListBullet"/>
        <w:numPr>
          <w:ilvl w:val="0"/>
          <w:numId w:val="1"/>
        </w:numPr>
        <w:rPr/>
      </w:pPr>
      <w:r>
        <w:rPr/>
        <w:t>3. How AIBridge works: Connect → Discover → Confirm → Build/Migrate → Validate → Deliver.</w:t>
      </w:r>
    </w:p>
    <w:p>
      <w:pPr>
        <w:pStyle w:val="ListBullet"/>
        <w:numPr>
          <w:ilvl w:val="0"/>
          <w:numId w:val="1"/>
        </w:numPr>
        <w:rPr/>
      </w:pPr>
      <w:r>
        <w:rPr/>
        <w:t>4. AIBridge fits alongside the existing data estate through SaaS, private, or on-premises deployment without forcing a rip-and-replace program.</w:t>
      </w:r>
    </w:p>
    <w:p>
      <w:pPr>
        <w:pStyle w:val="ListBullet"/>
        <w:numPr>
          <w:ilvl w:val="0"/>
          <w:numId w:val="1"/>
        </w:numPr>
        <w:rPr/>
      </w:pPr>
      <w:r>
        <w:rPr/>
        <w:t>5. Business Value to Test: Speed, specialist capacity, migration risk, documentation, time-to-information.</w:t>
      </w:r>
    </w:p>
    <w:p>
      <w:pPr>
        <w:pStyle w:val="ListBullet"/>
        <w:numPr>
          <w:ilvl w:val="0"/>
          <w:numId w:val="1"/>
        </w:numPr>
        <w:rPr/>
      </w:pPr>
      <w:r>
        <w:rPr/>
        <w:t>6. Controlled Pilot: Narrow scope, human approvals, security boundaries, measurable success criteria.</w:t>
      </w:r>
    </w:p>
    <w:p>
      <w:pPr>
        <w:pStyle w:val="ListBullet"/>
        <w:numPr>
          <w:ilvl w:val="0"/>
          <w:numId w:val="1"/>
        </w:numPr>
        <w:rPr/>
      </w:pPr>
      <w:r>
        <w:rPr/>
        <w:t>7. Executive Decision:  Approve a limited pilot; evaluate evidence; then decide whether to expand.</w:t>
      </w:r>
    </w:p>
    <w:p>
      <w:pPr>
        <w:pStyle w:val="Heading1"/>
        <w:rPr/>
      </w:pPr>
      <w:r>
        <w:rPr/>
        <w:t>Focus</w:t>
      </w:r>
    </w:p>
    <w:p>
      <w:pPr>
        <w:pStyle w:val="Normal"/>
        <w:rPr/>
      </w:pPr>
      <w:r>
        <w:rPr/>
        <w:t>This brief focuses on the business functionality and pilot introduction of AIBridge rather than funding, investor return, or broad market-sizing claims. The objective is to present a credible new-product introduction for an executive customer or business partner seeking a forward-deployed solution that can validate a next-generation data operating model today.</w:t>
      </w:r>
    </w:p>
    <w:p>
      <w:pPr>
        <w:pStyle w:val="Heading1"/>
        <w:rPr>
          <w:kern w:val="2"/>
          <w:szCs w:val="34"/>
        </w:rPr>
      </w:pPr>
      <w:r>
        <w:rPr/>
        <w:t>8. Short Budget Exercise and Next-Step Contingencies</w:t>
      </w:r>
    </w:p>
    <w:p>
      <w:pPr>
        <w:pStyle w:val="Normal"/>
        <w:rPr>
          <w:kern w:val="2"/>
          <w:szCs w:val="21"/>
        </w:rPr>
      </w:pPr>
      <w:r>
        <w:rPr/>
        <w:t>The pilot planning team should prepare three budget views before execution: a minimum viable pilot, a recommended pilot, and an expanded pilot option. Each view should identify internal staffing, AIBridge support, environment preparation, security review, compliance support, training or knowledge-transfer effort, and a contingency reserve.</w:t>
      </w:r>
    </w:p>
    <w:p>
      <w:pPr>
        <w:pStyle w:val="Normal"/>
        <w:rPr>
          <w:kern w:val="2"/>
          <w:szCs w:val="21"/>
        </w:rPr>
      </w:pPr>
      <w:r>
        <w:rPr/>
        <w:t>If the pilot is stopped, the organization should retain the discovery findings, current-state documentation, requirements register, environmental checklist, risk assessment, and lessons learned. If the pilot continues, the next-step package should include a production-readiness plan, deployment budget, commercial proposal, support model, security review path, and implementation roadmap.</w:t>
      </w:r>
    </w:p>
    <w:p>
      <w:pPr>
        <w:pStyle w:val="Heading1"/>
        <w:rPr>
          <w:kern w:val="2"/>
          <w:szCs w:val="34"/>
        </w:rPr>
      </w:pPr>
      <w:r>
        <w:rPr/>
        <w:t>Conclusion: Executive Approval to Begin</w:t>
      </w:r>
    </w:p>
    <w:p>
      <w:pPr>
        <w:pStyle w:val="Normal"/>
        <w:rPr>
          <w:kern w:val="2"/>
          <w:szCs w:val="21"/>
        </w:rPr>
      </w:pPr>
      <w:r>
        <w:rPr/>
        <w:t>The decision requested is approval to begin a limited, controlled pilot—not approval for a production cutover, enterprise-wide deployment, or disruption to the customer’s operating environment. The pilot is designed to validate AIBridge in a sandbox, non-production, or otherwise tightly governed setting that does not infringe on existing controls, destabilize business continuity, or introduce uncontrolled change into live operations. Before any expanded commitment is made, the executive team should receive a full pilot-phase presentation covering scope, continuity requirements, security boundaries, resource needs, commercial assumptions, and agreed cost estimates. From a goal-oriented CEO perspective, the pilot represents a managed and bounded risk worth taking because it tests measurable value without placing the business at operational risk; the greater risk may be failing to learn now, allowing data bottlenecks, migration exposure, and slower decision cycles to compound while competitors modernize. That review becomes the formal decision gate: proceed only if the pilot can demonstrate measurable value, protect the business environment, and support a mutually acceptable cost path for continuation.</w:t>
      </w:r>
    </w:p>
    <w:p>
      <w:pPr>
        <w:pStyle w:val="Normal"/>
        <w:rPr/>
      </w:pPr>
      <w:r>
        <w:rPr/>
      </w:r>
      <w:r>
        <w:br w:type="page"/>
      </w:r>
    </w:p>
    <w:p>
      <w:pPr>
        <w:pStyle w:val="Title"/>
        <w:jc w:val="center"/>
        <w:rPr/>
      </w:pPr>
      <w:r>
        <w:rPr/>
        <w:t xml:space="preserve">Demonstration </w:t>
      </w:r>
    </w:p>
    <w:p>
      <w:pPr>
        <w:pStyle w:val="Heading1"/>
        <w:rPr/>
      </w:pPr>
      <w:r>
        <w:rPr/>
        <w:t xml:space="preserve">Introduction </w:t>
      </w:r>
    </w:p>
    <w:p>
      <w:pPr>
        <w:pStyle w:val="Normal"/>
        <w:rPr/>
      </w:pPr>
      <w:r>
        <w:rPr/>
        <w:t xml:space="preserve">A transactional system (CRM) will create transactional data. </w:t>
      </w:r>
    </w:p>
    <w:p>
      <w:pPr>
        <w:pStyle w:val="Heading1"/>
        <w:rPr/>
      </w:pPr>
      <w:r>
        <w:rPr/>
        <w:t>Goal</w:t>
      </w:r>
    </w:p>
    <w:p>
      <w:pPr>
        <w:pStyle w:val="Normal"/>
        <w:rPr/>
      </w:pPr>
      <w:r>
        <w:rPr/>
        <w:t xml:space="preserve">The goal is to demonstrate </w:t>
      </w:r>
      <w:r>
        <w:rPr/>
        <w:t>the following</w:t>
      </w:r>
    </w:p>
    <w:p>
      <w:pPr>
        <w:pStyle w:val="Normal"/>
        <w:numPr>
          <w:ilvl w:val="0"/>
          <w:numId w:val="10"/>
        </w:numPr>
        <w:rPr/>
      </w:pPr>
      <w:r>
        <w:rPr/>
        <w:t>A</w:t>
      </w:r>
      <w:r>
        <w:rPr/>
        <w:t>I</w:t>
      </w:r>
      <w:r>
        <w:rPr/>
        <w:t xml:space="preserve"> bridge will </w:t>
      </w:r>
      <w:r>
        <w:rPr/>
        <w:t>integrate into the infrastructure</w:t>
      </w:r>
    </w:p>
    <w:p>
      <w:pPr>
        <w:pStyle w:val="Normal"/>
        <w:numPr>
          <w:ilvl w:val="0"/>
          <w:numId w:val="10"/>
        </w:numPr>
        <w:rPr/>
      </w:pPr>
      <w:r>
        <w:rPr/>
        <w:t>AI bridge will be understand then make recommendation</w:t>
      </w:r>
    </w:p>
    <w:p>
      <w:pPr>
        <w:pStyle w:val="Normal"/>
        <w:numPr>
          <w:ilvl w:val="0"/>
          <w:numId w:val="10"/>
        </w:numPr>
        <w:rPr/>
      </w:pPr>
      <w:r>
        <w:rPr/>
        <w:t>AI bridge will create actionable  and implementable products</w:t>
      </w:r>
    </w:p>
    <w:p>
      <w:pPr>
        <w:pStyle w:val="Heading1"/>
        <w:rPr/>
      </w:pPr>
      <w:r>
        <w:rPr/>
        <w:t>Source</w:t>
      </w:r>
    </w:p>
    <w:p>
      <w:pPr>
        <w:pStyle w:val="Normal"/>
        <w:rPr/>
      </w:pPr>
      <w:r>
        <w:rPr/>
        <w:t>The source of the suiteCRM</w:t>
      </w:r>
    </w:p>
    <w:p>
      <w:pPr>
        <w:pStyle w:val="Heading2"/>
        <w:rPr/>
      </w:pPr>
      <w:r>
        <w:rPr/>
        <w:t xml:space="preserve"> </w:t>
      </w:r>
      <w:r>
        <w:rPr/>
        <w:t>I</w:t>
      </w:r>
      <w:r>
        <w:rPr/>
        <w:t>nformation on schem</w:t>
      </w:r>
      <w:r>
        <w:rPr/>
        <w:t>a</w:t>
      </w:r>
      <w:r>
        <w:rPr/>
        <w:t xml:space="preserve"> </w:t>
      </w:r>
    </w:p>
    <w:p>
      <w:pPr>
        <w:pStyle w:val="BodyText"/>
        <w:rPr/>
      </w:pPr>
      <w:hyperlink r:id="rId2">
        <w:r>
          <w:rPr>
            <w:rStyle w:val="Hyperlink"/>
          </w:rPr>
          <w:t>https://www.google.com/search?q=suite+scrm+database+schema&amp;sca_esv=c2edff9d8988f2fa&amp;sxsrf=APpeQnt4gYP-VHg-bRvsjZI75SBxs1sMNA%3A1790908500311&amp;source=hp&amp;ei=VBi_aoPSEbmz5NoPiImekQY&amp;iflsig=ABILxe8AAAAAar8mZD4oHbEQY5T7eD9SaDrv5UvsJ6rH&amp;oq=suite+scrm+database+sche&amp;gs_lp=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&amp;sclient=gws-</w:t>
        </w:r>
      </w:hyperlink>
      <w:r>
        <w:rPr/>
        <w:t xml:space="preserve"> </w:t>
      </w:r>
    </w:p>
    <w:p>
      <w:pPr>
        <w:pStyle w:val="Heading2"/>
        <w:rPr/>
      </w:pPr>
      <w:r>
        <w:rPr/>
        <w:t xml:space="preserve">Demo Site </w:t>
      </w:r>
    </w:p>
    <w:p>
      <w:pPr>
        <w:pStyle w:val="Heading2"/>
        <w:numPr>
          <w:ilvl w:val="0"/>
          <w:numId w:val="8"/>
        </w:numPr>
        <w:rPr/>
      </w:pPr>
      <w:r>
        <w:rPr/>
        <w:t xml:space="preserve"> </w:t>
      </w:r>
      <w:hyperlink r:id="rId3">
        <w:r>
          <w:rPr>
            <w:rStyle w:val="Hyperlink"/>
          </w:rPr>
          <w:t>https://suitecrm.com/demo/</w:t>
        </w:r>
      </w:hyperlink>
    </w:p>
    <w:p>
      <w:pPr>
        <w:pStyle w:val="Normal"/>
        <w:numPr>
          <w:ilvl w:val="1"/>
          <w:numId w:val="7"/>
        </w:numPr>
        <w:rPr/>
      </w:pPr>
      <w:r>
        <w:rPr/>
        <w:t xml:space="preserve">- </w:t>
      </w:r>
      <w:r>
        <w:rPr/>
        <w:t>user version 8</w:t>
      </w:r>
    </w:p>
    <w:p>
      <w:pPr>
        <w:pStyle w:val="Heading2"/>
        <w:rPr/>
      </w:pPr>
      <w:r>
        <w:rPr/>
        <w:t xml:space="preserve">Database Schema </w:t>
      </w:r>
      <w:r>
        <w:rPr/>
        <w:t xml:space="preserve"> </w:t>
      </w:r>
    </w:p>
    <w:p>
      <w:pPr>
        <w:pStyle w:val="Normal"/>
        <w:numPr>
          <w:ilvl w:val="0"/>
          <w:numId w:val="7"/>
        </w:numPr>
        <w:rPr/>
      </w:pPr>
      <w:r>
        <w:rPr/>
        <w:t xml:space="preserve">- </w:t>
      </w:r>
      <w:hyperlink r:id="rId4">
        <w:r>
          <w:rPr>
            <w:rStyle w:val="Hyperlink"/>
          </w:rPr>
          <w:t>https://docs.suitecrm.com/developer/core-framework/database-schema/</w:t>
        </w:r>
      </w:hyperlink>
    </w:p>
    <w:p>
      <w:pPr>
        <w:pStyle w:val="Normal"/>
        <w:numPr>
          <w:ilvl w:val="0"/>
          <w:numId w:val="7"/>
        </w:numPr>
        <w:rPr/>
      </w:pPr>
      <w:r>
        <w:rPr/>
        <w:t xml:space="preserve">-  </w:t>
      </w:r>
      <w:hyperlink r:id="rId5">
        <w:r>
          <w:rPr>
            <w:rStyle w:val="Hyperlink"/>
          </w:rPr>
          <w:t>https://docs.suitecrm.com/schema/</w:t>
        </w:r>
      </w:hyperlink>
      <w:r>
        <w:rPr/>
        <w:t xml:space="preserve"> </w:t>
      </w:r>
      <w:r>
        <w:br w:type="page"/>
      </w:r>
    </w:p>
    <w:p>
      <w:pPr>
        <w:pStyle w:val="Heading1"/>
        <w:rPr/>
      </w:pPr>
      <w:r>
        <w:rPr/>
        <w:t xml:space="preserve">Scenarios </w:t>
      </w:r>
    </w:p>
    <w:p>
      <w:pPr>
        <w:pStyle w:val="Normal"/>
        <w:rPr/>
      </w:pPr>
      <w:r>
        <w:rPr/>
        <w:t>Demonstrate the starting point (Connect/Discover) and the final product (Recommendations) for the following scenarios.</w:t>
      </w:r>
    </w:p>
    <w:p>
      <w:pPr>
        <w:pStyle w:val="Normal"/>
        <w:numPr>
          <w:ilvl w:val="0"/>
          <w:numId w:val="9"/>
        </w:numPr>
        <w:spacing w:before="57" w:after="257"/>
        <w:rPr/>
      </w:pPr>
      <w:r>
        <w:rPr/>
        <w:t>Increase leads</w:t>
      </w:r>
    </w:p>
    <w:p>
      <w:pPr>
        <w:pStyle w:val="Normal"/>
        <w:numPr>
          <w:ilvl w:val="0"/>
          <w:numId w:val="9"/>
        </w:numPr>
        <w:spacing w:before="57" w:after="257"/>
        <w:rPr/>
      </w:pPr>
      <w:r>
        <w:rPr/>
        <w:t>Strategy to increase leads</w:t>
      </w:r>
    </w:p>
    <w:p>
      <w:pPr>
        <w:pStyle w:val="Normal"/>
        <w:numPr>
          <w:ilvl w:val="0"/>
          <w:numId w:val="9"/>
        </w:numPr>
        <w:spacing w:before="57" w:after="257"/>
        <w:rPr/>
      </w:pPr>
      <w:r>
        <w:rPr/>
        <w:t>Clients that are not productive</w:t>
      </w:r>
    </w:p>
    <w:p>
      <w:pPr>
        <w:pStyle w:val="Normal"/>
        <w:spacing w:before="0" w:after="200"/>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swiss"/>
    <w:pitch w:val="variable"/>
  </w:font>
  <w:font w:name="Calibri">
    <w:charset w:val="00" w:characterSet="windows-1252"/>
    <w:family w:val="swiss"/>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Autospacing="1" w:afterAutospacing="1"/>
      <w:jc w:val="center"/>
      <w:rPr>
        <w:sz w:val="24"/>
        <w:szCs w:val="24"/>
      </w:rPr>
    </w:pPr>
    <w:r>
      <w:rPr>
        <w:b/>
        <w:bCs/>
        <w:color w:val="808080"/>
        <w:sz w:val="20"/>
        <w:szCs w:val="20"/>
      </w:rPr>
      <w:t>CONFIDENTIAL AND PROPRIETARY • AIBRIDGE™</w:t>
    </w:r>
  </w:p>
  <w:p>
    <w:pPr>
      <w:pStyle w:val="Footer"/>
      <w:jc w:val="center"/>
      <w:rPr/>
    </w:pPr>
    <w:r>
      <w:rPr>
        <w:color w:val="808080"/>
        <w:sz w:val="20"/>
        <w:szCs w:val="20"/>
      </w:rPr>
      <w:t>AIBridge Business Development &amp; Management (ABDM) | Architect &amp; Product Developer: Kalesh Venna | Operations: Bhasker Venna | Research: Frank Chatonda | © 2026 All Rights Reserved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Autospacing="1" w:afterAutospacing="1"/>
      <w:jc w:val="center"/>
      <w:rPr>
        <w:sz w:val="24"/>
        <w:szCs w:val="24"/>
      </w:rPr>
    </w:pPr>
    <w:r>
      <w:rPr>
        <w:b/>
        <w:bCs/>
        <w:color w:val="808080"/>
        <w:sz w:val="20"/>
        <w:szCs w:val="20"/>
      </w:rPr>
      <w:t>CONFIDENTIAL AND PROPRIETARY • AIBRIDGE™</w:t>
    </w:r>
  </w:p>
  <w:p>
    <w:pPr>
      <w:pStyle w:val="Footer"/>
      <w:jc w:val="center"/>
      <w:rPr/>
    </w:pPr>
    <w:r>
      <w:rPr>
        <w:color w:val="808080"/>
        <w:sz w:val="20"/>
        <w:szCs w:val="20"/>
      </w:rPr>
      <w:t>AIBridge Business Development &amp; Management (ABDM) | Architect &amp; Product Developer: Kalesh Venna | Operations: Bhasker Venna | Research: Frank Chatonda | © 2026 All Rights Reserved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78"/>
        </w:tabs>
        <w:ind w:start="778" w:hanging="360"/>
      </w:pPr>
      <w:rPr>
        <w:rFonts w:ascii="Symbol" w:hAnsi="Symbol" w:cs="Symbol" w:hint="default"/>
      </w:rPr>
    </w:lvl>
    <w:lvl w:ilvl="1">
      <w:start w:val="1"/>
      <w:numFmt w:val="bullet"/>
      <w:lvlText w:val="◦"/>
      <w:lvlJc w:val="start"/>
      <w:pPr>
        <w:tabs>
          <w:tab w:val="num" w:pos="1138"/>
        </w:tabs>
        <w:ind w:start="1138" w:hanging="360"/>
      </w:pPr>
      <w:rPr>
        <w:rFonts w:ascii="OpenSymbol" w:hAnsi="OpenSymbol" w:cs="OpenSymbol" w:hint="default"/>
      </w:rPr>
    </w:lvl>
    <w:lvl w:ilvl="2">
      <w:start w:val="1"/>
      <w:numFmt w:val="bullet"/>
      <w:lvlText w:val="▪"/>
      <w:lvlJc w:val="start"/>
      <w:pPr>
        <w:tabs>
          <w:tab w:val="num" w:pos="1498"/>
        </w:tabs>
        <w:ind w:start="1498" w:hanging="360"/>
      </w:pPr>
      <w:rPr>
        <w:rFonts w:ascii="OpenSymbol" w:hAnsi="OpenSymbol" w:cs="OpenSymbol" w:hint="default"/>
      </w:rPr>
    </w:lvl>
    <w:lvl w:ilvl="3">
      <w:start w:val="1"/>
      <w:numFmt w:val="bullet"/>
      <w:lvlText w:val=""/>
      <w:lvlJc w:val="start"/>
      <w:pPr>
        <w:tabs>
          <w:tab w:val="num" w:pos="1858"/>
        </w:tabs>
        <w:ind w:start="1858" w:hanging="360"/>
      </w:pPr>
      <w:rPr>
        <w:rFonts w:ascii="Symbol" w:hAnsi="Symbol" w:cs="Symbol" w:hint="default"/>
      </w:rPr>
    </w:lvl>
    <w:lvl w:ilvl="4">
      <w:start w:val="1"/>
      <w:numFmt w:val="bullet"/>
      <w:lvlText w:val="◦"/>
      <w:lvlJc w:val="start"/>
      <w:pPr>
        <w:tabs>
          <w:tab w:val="num" w:pos="2218"/>
        </w:tabs>
        <w:ind w:start="2218" w:hanging="360"/>
      </w:pPr>
      <w:rPr>
        <w:rFonts w:ascii="OpenSymbol" w:hAnsi="OpenSymbol" w:cs="OpenSymbol" w:hint="default"/>
      </w:rPr>
    </w:lvl>
    <w:lvl w:ilvl="5">
      <w:start w:val="1"/>
      <w:numFmt w:val="bullet"/>
      <w:lvlText w:val="▪"/>
      <w:lvlJc w:val="start"/>
      <w:pPr>
        <w:tabs>
          <w:tab w:val="num" w:pos="2578"/>
        </w:tabs>
        <w:ind w:start="2578" w:hanging="360"/>
      </w:pPr>
      <w:rPr>
        <w:rFonts w:ascii="OpenSymbol" w:hAnsi="OpenSymbol" w:cs="OpenSymbol" w:hint="default"/>
      </w:rPr>
    </w:lvl>
    <w:lvl w:ilvl="6">
      <w:start w:val="1"/>
      <w:numFmt w:val="bullet"/>
      <w:lvlText w:val=""/>
      <w:lvlJc w:val="start"/>
      <w:pPr>
        <w:tabs>
          <w:tab w:val="num" w:pos="2938"/>
        </w:tabs>
        <w:ind w:start="2938" w:hanging="360"/>
      </w:pPr>
      <w:rPr>
        <w:rFonts w:ascii="Symbol" w:hAnsi="Symbol" w:cs="Symbol" w:hint="default"/>
      </w:rPr>
    </w:lvl>
    <w:lvl w:ilvl="7">
      <w:start w:val="1"/>
      <w:numFmt w:val="bullet"/>
      <w:lvlText w:val="◦"/>
      <w:lvlJc w:val="start"/>
      <w:pPr>
        <w:tabs>
          <w:tab w:val="num" w:pos="3298"/>
        </w:tabs>
        <w:ind w:start="3298" w:hanging="360"/>
      </w:pPr>
      <w:rPr>
        <w:rFonts w:ascii="OpenSymbol" w:hAnsi="OpenSymbol" w:cs="OpenSymbol" w:hint="default"/>
      </w:rPr>
    </w:lvl>
    <w:lvl w:ilvl="8">
      <w:start w:val="1"/>
      <w:numFmt w:val="bullet"/>
      <w:lvlText w:val="▪"/>
      <w:lvlJc w:val="start"/>
      <w:pPr>
        <w:tabs>
          <w:tab w:val="num" w:pos="3658"/>
        </w:tabs>
        <w:ind w:start="3658"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MS Mincho" w:cs="Times New Roman"/>
      <w:color w:val="232B34"/>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MS Gothic"/>
      <w:b/>
      <w:bCs/>
      <w:color w:val="0F2743"/>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MS Gothic"/>
      <w:b/>
      <w:bCs/>
      <w:color w:val="0F2743"/>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MS Gothic"/>
      <w:b/>
      <w:bCs/>
      <w:color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MS Gothic"/>
      <w:b/>
      <w:bCs/>
      <w:i/>
      <w:iCs/>
      <w:color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MS Gothic"/>
      <w:color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MS Gothic"/>
      <w:i/>
      <w:iCs/>
      <w:color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MS Gothic"/>
      <w:i/>
      <w:iCs/>
      <w:color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MS Gothic"/>
      <w:color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MS Gothic"/>
      <w:i/>
      <w:iCs/>
      <w:color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link w:val="Heading1"/>
    <w:uiPriority w:val="9"/>
    <w:qFormat/>
    <w:rsid w:val="00fc693f"/>
    <w:rPr>
      <w:rFonts w:ascii="Calibri" w:hAnsi="Calibri" w:eastAsia="MS Gothic" w:cs="Times New Roman"/>
      <w:b/>
      <w:bCs/>
      <w:color w:val="365F91"/>
      <w:sz w:val="28"/>
      <w:szCs w:val="28"/>
    </w:rPr>
  </w:style>
  <w:style w:type="character" w:styleId="Heading2Char" w:customStyle="1">
    <w:name w:val="Heading 2 Char"/>
    <w:link w:val="Heading2"/>
    <w:uiPriority w:val="9"/>
    <w:qFormat/>
    <w:rsid w:val="00fc693f"/>
    <w:rPr>
      <w:rFonts w:ascii="Calibri" w:hAnsi="Calibri" w:eastAsia="MS Gothic" w:cs="Times New Roman"/>
      <w:b/>
      <w:bCs/>
      <w:color w:val="4F81BD"/>
      <w:sz w:val="26"/>
      <w:szCs w:val="26"/>
    </w:rPr>
  </w:style>
  <w:style w:type="character" w:styleId="Heading3Char" w:customStyle="1">
    <w:name w:val="Heading 3 Char"/>
    <w:link w:val="Heading3"/>
    <w:uiPriority w:val="9"/>
    <w:qFormat/>
    <w:rsid w:val="00fc693f"/>
    <w:rPr>
      <w:rFonts w:ascii="Calibri" w:hAnsi="Calibri" w:eastAsia="MS Gothic" w:cs="Times New Roman"/>
      <w:b/>
      <w:bCs/>
      <w:color w:val="4F81BD"/>
    </w:rPr>
  </w:style>
  <w:style w:type="character" w:styleId="TitleChar" w:customStyle="1">
    <w:name w:val="Title Char"/>
    <w:link w:val="Title"/>
    <w:uiPriority w:val="10"/>
    <w:qFormat/>
    <w:rsid w:val="00fc693f"/>
    <w:rPr>
      <w:rFonts w:ascii="Calibri" w:hAnsi="Calibri" w:eastAsia="MS Gothic" w:cs="Times New Roman"/>
      <w:color w:val="17365D"/>
      <w:spacing w:val="5"/>
      <w:kern w:val="2"/>
      <w:sz w:val="52"/>
      <w:szCs w:val="52"/>
    </w:rPr>
  </w:style>
  <w:style w:type="character" w:styleId="SubtitleChar" w:customStyle="1">
    <w:name w:val="Subtitle Char"/>
    <w:link w:val="Subtitle"/>
    <w:uiPriority w:val="11"/>
    <w:qFormat/>
    <w:rsid w:val="00fc693f"/>
    <w:rPr>
      <w:rFonts w:ascii="Calibri" w:hAnsi="Calibri" w:eastAsia="MS Gothic" w:cs="Times New Roman"/>
      <w:i/>
      <w:iCs/>
      <w:color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link w:val="BodyText3"/>
    <w:uiPriority w:val="99"/>
    <w:qFormat/>
    <w:rsid w:val="00aa1d8d"/>
    <w:rPr>
      <w:sz w:val="16"/>
      <w:szCs w:val="16"/>
    </w:rPr>
  </w:style>
  <w:style w:type="character" w:styleId="MacroTextChar" w:customStyle="1">
    <w:name w:val="Macro Text Char"/>
    <w:link w:val="MacroText"/>
    <w:uiPriority w:val="99"/>
    <w:qFormat/>
    <w:rsid w:val="0029639d"/>
    <w:rPr>
      <w:rFonts w:ascii="Courier" w:hAnsi="Courier"/>
      <w:sz w:val="20"/>
      <w:szCs w:val="20"/>
    </w:rPr>
  </w:style>
  <w:style w:type="character" w:styleId="QuoteChar" w:customStyle="1">
    <w:name w:val="Quote Char"/>
    <w:link w:val="Quote"/>
    <w:uiPriority w:val="29"/>
    <w:qFormat/>
    <w:rsid w:val="00fc693f"/>
    <w:rPr>
      <w:i/>
      <w:iCs/>
      <w:color w:val="000000"/>
    </w:rPr>
  </w:style>
  <w:style w:type="character" w:styleId="Heading4Char" w:customStyle="1">
    <w:name w:val="Heading 4 Char"/>
    <w:link w:val="Heading4"/>
    <w:uiPriority w:val="9"/>
    <w:semiHidden/>
    <w:qFormat/>
    <w:rsid w:val="00fc693f"/>
    <w:rPr>
      <w:rFonts w:ascii="Calibri" w:hAnsi="Calibri" w:eastAsia="MS Gothic" w:cs="Times New Roman"/>
      <w:b/>
      <w:bCs/>
      <w:i/>
      <w:iCs/>
      <w:color w:val="4F81BD"/>
    </w:rPr>
  </w:style>
  <w:style w:type="character" w:styleId="Heading5Char" w:customStyle="1">
    <w:name w:val="Heading 5 Char"/>
    <w:link w:val="Heading5"/>
    <w:uiPriority w:val="9"/>
    <w:semiHidden/>
    <w:qFormat/>
    <w:rsid w:val="00fc693f"/>
    <w:rPr>
      <w:rFonts w:ascii="Calibri" w:hAnsi="Calibri" w:eastAsia="MS Gothic" w:cs="Times New Roman"/>
      <w:color w:val="243F60"/>
    </w:rPr>
  </w:style>
  <w:style w:type="character" w:styleId="Heading6Char" w:customStyle="1">
    <w:name w:val="Heading 6 Char"/>
    <w:link w:val="Heading6"/>
    <w:uiPriority w:val="9"/>
    <w:semiHidden/>
    <w:qFormat/>
    <w:rsid w:val="00fc693f"/>
    <w:rPr>
      <w:rFonts w:ascii="Calibri" w:hAnsi="Calibri" w:eastAsia="MS Gothic" w:cs="Times New Roman"/>
      <w:i/>
      <w:iCs/>
      <w:color w:val="243F60"/>
    </w:rPr>
  </w:style>
  <w:style w:type="character" w:styleId="Heading7Char" w:customStyle="1">
    <w:name w:val="Heading 7 Char"/>
    <w:link w:val="Heading7"/>
    <w:uiPriority w:val="9"/>
    <w:semiHidden/>
    <w:qFormat/>
    <w:rsid w:val="00fc693f"/>
    <w:rPr>
      <w:rFonts w:ascii="Calibri" w:hAnsi="Calibri" w:eastAsia="MS Gothic" w:cs="Times New Roman"/>
      <w:i/>
      <w:iCs/>
      <w:color w:val="404040"/>
    </w:rPr>
  </w:style>
  <w:style w:type="character" w:styleId="Heading8Char" w:customStyle="1">
    <w:name w:val="Heading 8 Char"/>
    <w:link w:val="Heading8"/>
    <w:uiPriority w:val="9"/>
    <w:semiHidden/>
    <w:qFormat/>
    <w:rsid w:val="00fc693f"/>
    <w:rPr>
      <w:rFonts w:ascii="Calibri" w:hAnsi="Calibri" w:eastAsia="MS Gothic" w:cs="Times New Roman"/>
      <w:color w:val="4F81BD"/>
      <w:sz w:val="20"/>
      <w:szCs w:val="20"/>
    </w:rPr>
  </w:style>
  <w:style w:type="character" w:styleId="Heading9Char" w:customStyle="1">
    <w:name w:val="Heading 9 Char"/>
    <w:link w:val="Heading9"/>
    <w:uiPriority w:val="9"/>
    <w:semiHidden/>
    <w:qFormat/>
    <w:rsid w:val="00fc693f"/>
    <w:rPr>
      <w:rFonts w:ascii="Calibri" w:hAnsi="Calibri" w:eastAsia="MS Gothic" w:cs="Times New Roman"/>
      <w:i/>
      <w:iCs/>
      <w:color w:val="404040"/>
      <w:sz w:val="20"/>
      <w:szCs w:val="20"/>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character" w:styleId="IntenseQuoteChar" w:customStyle="1">
    <w:name w:val="Intense Quote Char"/>
    <w:link w:val="IntenseQuote"/>
    <w:uiPriority w:val="30"/>
    <w:qFormat/>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before="0" w:after="0"/>
      <w:jc w:val="start"/>
    </w:pPr>
    <w:rPr>
      <w:rFonts w:ascii="Cambria" w:hAnsi="Cambria" w:eastAsia="MS Mincho" w:cs="Times New Roman"/>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MS Gothic"/>
      <w:b/>
      <w:color w:val="0F2743"/>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MS Gothic"/>
      <w:i/>
      <w:iCs/>
      <w:color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MS Mincho"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start="936" w:end="936"/>
    </w:pPr>
    <w:rPr>
      <w:b/>
      <w:bCs/>
      <w:i/>
      <w:iCs/>
      <w:color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Grid">
    <w:name w:val="Light Grid"/>
    <w:basedOn w:val="TableNormal"/>
    <w:uiPriority w:val="62"/>
    <w:rsid w:val="00cb0664"/>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b/>
        <w:bCs/>
      </w:rPr>
      <w:tbl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b/>
        <w:bCs/>
      </w:rPr>
      <w:tbl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b/>
        <w:bCs/>
      </w:rPr>
      <w:tbl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b/>
        <w:bCs/>
      </w:rPr>
      <w:tbl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b/>
        <w:bCs/>
      </w:rPr>
      <w:tbl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b/>
        <w:bCs/>
      </w:rPr>
      <w:tbl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b/>
        <w:bCs/>
      </w:rPr>
      <w:tbl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tblPr>
      <w:tblStyleRowBandSize w:val="1"/>
      <w:tblStyleColBandSize w:val="1"/>
      <w:tblBorders>
        <w:top w:val="single" w:color="000000" w:sz="8" w:space="0"/>
        <w:bottom w:val="single" w:color="000000" w:sz="8" w:space="0"/>
      </w:tblBorders>
    </w:tblPr>
    <w:tblStylePr w:type="firstRow">
      <w:rPr/>
      <w:tblPr/>
      <w:tcPr>
        <w:tcBorders>
          <w:top w:val="nil"/>
          <w:bottom w:val="single" w:color="000000" w:sz="8" w:space="0"/>
        </w:tcBorders>
      </w:tcPr>
    </w:tblStylePr>
    <w:tblStylePr w:type="lastRow">
      <w:rPr>
        <w:b/>
        <w:bCs/>
      </w:rPr>
      <w:tblPr/>
      <w:tcPr>
        <w:tcBorders>
          <w:top w:val="single" w:color="000000" w:sz="8" w:space="0"/>
          <w:bottom w:val="single" w:color="000000" w:sz="8" w:space="0"/>
        </w:tcBorders>
      </w:tcPr>
    </w:tblStylePr>
    <w:tblStylePr w:type="firstCol">
      <w:rPr>
        <w:b/>
        <w:bCs/>
      </w:rPr>
      <w:tbl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tblPr>
      <w:tblStyleRowBandSize w:val="1"/>
      <w:tblStyleColBandSize w:val="1"/>
      <w:tblBorders>
        <w:top w:val="single" w:color="4F81BD" w:sz="8" w:space="0"/>
        <w:bottom w:val="single" w:color="4F81BD" w:sz="8" w:space="0"/>
      </w:tblBorders>
    </w:tblPr>
    <w:tblStylePr w:type="firstRow">
      <w:rPr/>
      <w:tblPr/>
      <w:tcPr>
        <w:tcBorders>
          <w:top w:val="nil"/>
          <w:bottom w:val="single" w:color="4F81BD" w:sz="8" w:space="0"/>
        </w:tcBorders>
      </w:tcPr>
    </w:tblStylePr>
    <w:tblStylePr w:type="lastRow">
      <w:rPr>
        <w:b/>
        <w:bCs/>
      </w:rPr>
      <w:tblPr/>
      <w:tcPr>
        <w:tcBorders>
          <w:top w:val="single" w:color="4F81BD" w:sz="8" w:space="0"/>
          <w:bottom w:val="single" w:color="4F81BD" w:sz="8" w:space="0"/>
        </w:tcBorders>
      </w:tcPr>
    </w:tblStylePr>
    <w:tblStylePr w:type="firstCol">
      <w:rPr>
        <w:b/>
        <w:bCs/>
      </w:rPr>
      <w:tbl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tblPr>
      <w:tblStyleRowBandSize w:val="1"/>
      <w:tblStyleColBandSize w:val="1"/>
      <w:tblBorders>
        <w:top w:val="single" w:color="C0504D" w:sz="8" w:space="0"/>
        <w:bottom w:val="single" w:color="C0504D" w:sz="8" w:space="0"/>
      </w:tblBorders>
    </w:tblPr>
    <w:tblStylePr w:type="firstRow">
      <w:rPr/>
      <w:tblPr/>
      <w:tcPr>
        <w:tcBorders>
          <w:top w:val="nil"/>
          <w:bottom w:val="single" w:color="C0504D" w:sz="8" w:space="0"/>
        </w:tcBorders>
      </w:tcPr>
    </w:tblStylePr>
    <w:tblStylePr w:type="lastRow">
      <w:rPr>
        <w:b/>
        <w:bCs/>
      </w:rPr>
      <w:tblPr/>
      <w:tcPr>
        <w:tcBorders>
          <w:top w:val="single" w:color="C0504D" w:sz="8" w:space="0"/>
          <w:bottom w:val="single" w:color="C0504D" w:sz="8" w:space="0"/>
        </w:tcBorders>
      </w:tcPr>
    </w:tblStylePr>
    <w:tblStylePr w:type="firstCol">
      <w:rPr>
        <w:b/>
        <w:bCs/>
      </w:rPr>
      <w:tbl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tblPr>
      <w:tblStyleRowBandSize w:val="1"/>
      <w:tblStyleColBandSize w:val="1"/>
      <w:tblBorders>
        <w:top w:val="single" w:color="9BBB59" w:sz="8" w:space="0"/>
        <w:bottom w:val="single" w:color="9BBB59" w:sz="8" w:space="0"/>
      </w:tblBorders>
    </w:tblPr>
    <w:tblStylePr w:type="firstRow">
      <w:rPr/>
      <w:tblPr/>
      <w:tcPr>
        <w:tcBorders>
          <w:top w:val="nil"/>
          <w:bottom w:val="single" w:color="9BBB59" w:sz="8" w:space="0"/>
        </w:tcBorders>
      </w:tcPr>
    </w:tblStylePr>
    <w:tblStylePr w:type="lastRow">
      <w:rPr>
        <w:b/>
        <w:bCs/>
      </w:rPr>
      <w:tblPr/>
      <w:tcPr>
        <w:tcBorders>
          <w:top w:val="single" w:color="9BBB59" w:sz="8" w:space="0"/>
          <w:bottom w:val="single" w:color="9BBB59" w:sz="8" w:space="0"/>
        </w:tcBorders>
      </w:tcPr>
    </w:tblStylePr>
    <w:tblStylePr w:type="firstCol">
      <w:rPr>
        <w:b/>
        <w:bCs/>
      </w:rPr>
      <w:tbl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tblPr>
      <w:tblStyleRowBandSize w:val="1"/>
      <w:tblStyleColBandSize w:val="1"/>
      <w:tblBorders>
        <w:top w:val="single" w:color="8064A2" w:sz="8" w:space="0"/>
        <w:bottom w:val="single" w:color="8064A2" w:sz="8" w:space="0"/>
      </w:tblBorders>
    </w:tblPr>
    <w:tblStylePr w:type="firstRow">
      <w:rPr/>
      <w:tblPr/>
      <w:tcPr>
        <w:tcBorders>
          <w:top w:val="nil"/>
          <w:bottom w:val="single" w:color="8064A2" w:sz="8" w:space="0"/>
        </w:tcBorders>
      </w:tcPr>
    </w:tblStylePr>
    <w:tblStylePr w:type="lastRow">
      <w:rPr>
        <w:b/>
        <w:bCs/>
      </w:rPr>
      <w:tblPr/>
      <w:tcPr>
        <w:tcBorders>
          <w:top w:val="single" w:color="8064A2" w:sz="8" w:space="0"/>
          <w:bottom w:val="single" w:color="8064A2" w:sz="8" w:space="0"/>
        </w:tcBorders>
      </w:tcPr>
    </w:tblStylePr>
    <w:tblStylePr w:type="firstCol">
      <w:rPr>
        <w:b/>
        <w:bCs/>
      </w:rPr>
      <w:tbl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tblPr>
      <w:tblStyleRowBandSize w:val="1"/>
      <w:tblStyleColBandSize w:val="1"/>
      <w:tblBorders>
        <w:top w:val="single" w:color="4BACC6" w:sz="8" w:space="0"/>
        <w:bottom w:val="single" w:color="4BACC6" w:sz="8" w:space="0"/>
      </w:tblBorders>
    </w:tblPr>
    <w:tblStylePr w:type="firstRow">
      <w:rPr/>
      <w:tblPr/>
      <w:tcPr>
        <w:tcBorders>
          <w:top w:val="nil"/>
          <w:bottom w:val="single" w:color="4BACC6" w:sz="8" w:space="0"/>
        </w:tcBorders>
      </w:tcPr>
    </w:tblStylePr>
    <w:tblStylePr w:type="lastRow">
      <w:rPr>
        <w:b/>
        <w:bCs/>
      </w:rPr>
      <w:tblPr/>
      <w:tcPr>
        <w:tcBorders>
          <w:top w:val="single" w:color="4BACC6" w:sz="8" w:space="0"/>
          <w:bottom w:val="single" w:color="4BACC6" w:sz="8" w:space="0"/>
        </w:tcBorders>
      </w:tcPr>
    </w:tblStylePr>
    <w:tblStylePr w:type="firstCol">
      <w:rPr>
        <w:b/>
        <w:bCs/>
      </w:rPr>
      <w:tbl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tblPr>
      <w:tblStyleRowBandSize w:val="1"/>
      <w:tblStyleColBandSize w:val="1"/>
      <w:tblBorders>
        <w:top w:val="single" w:color="F79646" w:sz="8" w:space="0"/>
        <w:bottom w:val="single" w:color="F79646" w:sz="8" w:space="0"/>
      </w:tblBorders>
    </w:tblPr>
    <w:tblStylePr w:type="firstRow">
      <w:rPr/>
      <w:tblPr/>
      <w:tcPr>
        <w:tcBorders>
          <w:top w:val="nil"/>
          <w:bottom w:val="single" w:color="F79646" w:sz="8" w:space="0"/>
        </w:tcBorders>
      </w:tcPr>
    </w:tblStylePr>
    <w:tblStylePr w:type="lastRow">
      <w:rPr>
        <w:b/>
        <w:bCs/>
      </w:rPr>
      <w:tblPr/>
      <w:tcPr>
        <w:tcBorders>
          <w:top w:val="single" w:color="F79646" w:sz="8" w:space="0"/>
          <w:bottom w:val="single" w:color="F79646" w:sz="8" w:space="0"/>
        </w:tcBorders>
      </w:tcPr>
    </w:tblStylePr>
    <w:tblStylePr w:type="firstCol">
      <w:rPr>
        <w:b/>
        <w:bCs/>
      </w:rPr>
      <w:tbl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Pr/>
    </w:tblStylePr>
    <w:tblStylePr w:type="lastRow">
      <w:rPr>
        <w:b/>
        <w:bCs/>
      </w:rPr>
      <w:tblPr/>
      <w:tcPr>
        <w:tcBorders>
          <w:top w:val="single" w:color="404040" w:sz="18" w:space="0"/>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blStylePr>
    <w:tblStylePr w:type="lastRow">
      <w:rPr>
        <w:b/>
        <w:bCs/>
      </w:rPr>
      <w:tblPr/>
      <w:tcPr>
        <w:tcBorders>
          <w:top w:val="single" w:color="7BA0CD" w:sz="18" w:space="0"/>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Pr/>
    </w:tblStylePr>
    <w:tblStylePr w:type="lastRow">
      <w:rPr>
        <w:b/>
        <w:bCs/>
      </w:rPr>
      <w:tblPr/>
      <w:tcPr>
        <w:tcBorders>
          <w:top w:val="single" w:color="CF7B79" w:sz="18" w:space="0"/>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Pr/>
    </w:tblStylePr>
    <w:tblStylePr w:type="lastRow">
      <w:rPr>
        <w:b/>
        <w:bCs/>
      </w:rPr>
      <w:tblPr/>
      <w:tcPr>
        <w:tcBorders>
          <w:top w:val="single" w:color="B3CC82" w:sz="18" w:space="0"/>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Pr/>
    </w:tblStylePr>
    <w:tblStylePr w:type="lastRow">
      <w:rPr>
        <w:b/>
        <w:bCs/>
      </w:rPr>
      <w:tblPr/>
      <w:tcPr>
        <w:tcBorders>
          <w:top w:val="single" w:color="9F8AB9" w:sz="18" w:space="0"/>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Pr/>
    </w:tblStylePr>
    <w:tblStylePr w:type="lastRow">
      <w:rPr>
        <w:b/>
        <w:bCs/>
      </w:rPr>
      <w:tblPr/>
      <w:tcPr>
        <w:tcBorders>
          <w:top w:val="single" w:color="78C0D4" w:sz="18" w:space="0"/>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Pr/>
    </w:tblStylePr>
    <w:tblStylePr w:type="lastRow">
      <w:rPr>
        <w:b/>
        <w:bCs/>
      </w:rPr>
      <w:tblPr/>
      <w:tcPr>
        <w:tcBorders>
          <w:top w:val="single" w:color="F9B074" w:sz="18" w:space="0"/>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rPr>
      <w:tblPr/>
      <w:tcPr>
        <w:shd w:val="clear" w:color="auto" w:fill="E6E6E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rPr>
      <w:tblPr/>
      <w:tcPr>
        <w:shd w:val="clear" w:color="auto" w:fill="EDF2F8"/>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rPr>
      <w:tblPr/>
      <w:tcPr>
        <w:shd w:val="clear" w:color="auto" w:fill="F8EDED"/>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rPr>
      <w:tblPr/>
      <w:tcPr>
        <w:shd w:val="clear" w:color="auto" w:fill="F5F8EE"/>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rPr>
      <w:tblPr/>
      <w:tcPr>
        <w:shd w:val="clear" w:color="auto" w:fill="F2EFF6"/>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rPr>
      <w:tblPr/>
      <w:tcPr>
        <w:shd w:val="clear" w:color="auto" w:fill="EDF6F9"/>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rPr>
      <w:tblPr/>
      <w:tcPr>
        <w:shd w:val="clear" w:color="auto" w:fill="FEF4EC"/>
      </w:tcPr>
    </w:tblStylePr>
    <w:tblStylePr w:type="lastRow">
      <w:rPr>
        <w:b/>
        <w:bCs/>
      </w:rPr>
      <w:tblPr/>
      <w:tcPr>
        <w:tcBorders>
          <w:top w:val="single" w:color="000000" w:sz="12" w:space="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rPr>
      <w:tblPr/>
      <w:tcPr>
        <w:tcBorders>
          <w:left w:val="single" w:color="FFFFFF" w:sz="8" w:space="0"/>
          <w:right w:val="single" w:color="FFFFFF" w:sz="24" w:space="0"/>
          <w:insideH w:val="nil"/>
          <w:insideV w:val="nil"/>
        </w:tcBorders>
        <w:shd w:val="clear" w:color="auto" w:fill="000000"/>
      </w:tcPr>
    </w:tblStylePr>
    <w:tblStylePr w:type="lastCol">
      <w:rPr>
        <w:b/>
        <w:bCs/>
        <w:i w:val="0"/>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rPr>
      <w:tblPr/>
      <w:tcPr>
        <w:tcBorders>
          <w:left w:val="single" w:color="FFFFFF" w:sz="8" w:space="0"/>
          <w:right w:val="single" w:color="FFFFFF" w:sz="24" w:space="0"/>
          <w:insideH w:val="nil"/>
          <w:insideV w:val="nil"/>
        </w:tcBorders>
        <w:shd w:val="clear" w:color="auto" w:fill="4F81BD"/>
      </w:tcPr>
    </w:tblStylePr>
    <w:tblStylePr w:type="lastCol">
      <w:rPr>
        <w:b/>
        <w:bCs/>
        <w:i w:val="0"/>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rPr>
      <w:tblPr/>
      <w:tcPr>
        <w:tcBorders>
          <w:left w:val="single" w:color="FFFFFF" w:sz="8" w:space="0"/>
          <w:right w:val="single" w:color="FFFFFF" w:sz="24" w:space="0"/>
          <w:insideH w:val="nil"/>
          <w:insideV w:val="nil"/>
        </w:tcBorders>
        <w:shd w:val="clear" w:color="auto" w:fill="C0504D"/>
      </w:tcPr>
    </w:tblStylePr>
    <w:tblStylePr w:type="lastCol">
      <w:rPr>
        <w:b/>
        <w:bCs/>
        <w:i w:val="0"/>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rPr>
      <w:tblPr/>
      <w:tcPr>
        <w:tcBorders>
          <w:left w:val="single" w:color="FFFFFF" w:sz="8" w:space="0"/>
          <w:right w:val="single" w:color="FFFFFF" w:sz="24" w:space="0"/>
          <w:insideH w:val="nil"/>
          <w:insideV w:val="nil"/>
        </w:tcBorders>
        <w:shd w:val="clear" w:color="auto" w:fill="9BBB59"/>
      </w:tcPr>
    </w:tblStylePr>
    <w:tblStylePr w:type="lastCol">
      <w:rPr>
        <w:b/>
        <w:bCs/>
        <w:i w:val="0"/>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rPr>
      <w:tblPr/>
      <w:tcPr>
        <w:tcBorders>
          <w:left w:val="single" w:color="FFFFFF" w:sz="8" w:space="0"/>
          <w:right w:val="single" w:color="FFFFFF" w:sz="24" w:space="0"/>
          <w:insideH w:val="nil"/>
          <w:insideV w:val="nil"/>
        </w:tcBorders>
        <w:shd w:val="clear" w:color="auto" w:fill="8064A2"/>
      </w:tcPr>
    </w:tblStylePr>
    <w:tblStylePr w:type="lastCol">
      <w:rPr>
        <w:b/>
        <w:bCs/>
        <w:i w:val="0"/>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rPr>
      <w:tblPr/>
      <w:tcPr>
        <w:tcBorders>
          <w:left w:val="single" w:color="FFFFFF" w:sz="8" w:space="0"/>
          <w:right w:val="single" w:color="FFFFFF" w:sz="24" w:space="0"/>
          <w:insideH w:val="nil"/>
          <w:insideV w:val="nil"/>
        </w:tcBorders>
        <w:shd w:val="clear" w:color="auto" w:fill="4BACC6"/>
      </w:tcPr>
    </w:tblStylePr>
    <w:tblStylePr w:type="lastCol">
      <w:rPr>
        <w:b/>
        <w:bCs/>
        <w:i w:val="0"/>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rPr>
      <w:tblPr/>
      <w:tcPr>
        <w:tcBorders>
          <w:left w:val="single" w:color="FFFFFF" w:sz="8" w:space="0"/>
          <w:right w:val="single" w:color="FFFFFF" w:sz="24" w:space="0"/>
          <w:insideH w:val="nil"/>
          <w:insideV w:val="nil"/>
        </w:tcBorders>
        <w:shd w:val="clear" w:color="auto" w:fill="F79646"/>
      </w:tcPr>
    </w:tblStylePr>
    <w:tblStylePr w:type="lastCol">
      <w:rPr>
        <w:b/>
        <w:bCs/>
        <w:i w:val="0"/>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DarkList">
    <w:name w:val="Dark List"/>
    <w:basedOn w:val="TableNormal"/>
    <w:uiPriority w:val="70"/>
    <w:rsid w:val="00cb0664"/>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000000"/>
      </w:tcPr>
    </w:tblStylePr>
    <w:tblStylePr w:type="firstCol">
      <w:rPr/>
      <w:tblPr/>
      <w:tcPr>
        <w:tcBorders>
          <w:top w:val="nil"/>
          <w:left w:val="nil"/>
          <w:bottom w:val="nil"/>
          <w:right w:val="nil"/>
          <w:insideH w:val="single" w:color="000000" w:sz="4" w:space="0"/>
          <w:insideV w:val="nil"/>
        </w:tcBorders>
        <w:shd w:val="clear" w:color="auto" w:fill="000000"/>
      </w:tcPr>
    </w:tblStylePr>
    <w:tblStylePr w:type="lastCol">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tblPr/>
    </w:tblStylePr>
    <w:tblStylePr w:type="nwCell">
      <w:rPr/>
      <w:tblPr/>
    </w:tblStylePr>
  </w:style>
  <w:style w:type="table" w:styleId="ColorfulShading-Accent1">
    <w:name w:val="Colorful Shading Accent 1"/>
    <w:basedOn w:val="TableNormal"/>
    <w:uiPriority w:val="71"/>
    <w:rsid w:val="00cb0664"/>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C4C74"/>
      </w:tcPr>
    </w:tblStylePr>
    <w:tblStylePr w:type="firstCol">
      <w:rPr/>
      <w:tblPr/>
      <w:tcPr>
        <w:tcBorders>
          <w:top w:val="nil"/>
          <w:left w:val="nil"/>
          <w:bottom w:val="nil"/>
          <w:right w:val="nil"/>
          <w:insideH w:val="single" w:color="2C4C74" w:sz="4" w:space="0"/>
          <w:insideV w:val="nil"/>
        </w:tcBorders>
        <w:shd w:val="clear" w:color="auto" w:fill="2C4C74"/>
      </w:tcPr>
    </w:tblStylePr>
    <w:tblStylePr w:type="lastCol">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tblPr/>
    </w:tblStylePr>
    <w:tblStylePr w:type="nwCell">
      <w:rPr/>
      <w:tblPr/>
    </w:tblStylePr>
  </w:style>
  <w:style w:type="table" w:styleId="ColorfulShading-Accent2">
    <w:name w:val="Colorful Shading Accent 2"/>
    <w:basedOn w:val="TableNormal"/>
    <w:uiPriority w:val="71"/>
    <w:rsid w:val="00cb0664"/>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772C2A"/>
      </w:tcPr>
    </w:tblStylePr>
    <w:tblStylePr w:type="firstCol">
      <w:rPr/>
      <w:tblPr/>
      <w:tcPr>
        <w:tcBorders>
          <w:top w:val="nil"/>
          <w:left w:val="nil"/>
          <w:bottom w:val="nil"/>
          <w:right w:val="nil"/>
          <w:insideH w:val="single" w:color="772C2A" w:sz="4" w:space="0"/>
          <w:insideV w:val="nil"/>
        </w:tcBorders>
        <w:shd w:val="clear" w:color="auto" w:fill="772C2A"/>
      </w:tcPr>
    </w:tblStylePr>
    <w:tblStylePr w:type="lastCol">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tblPr/>
    </w:tblStylePr>
    <w:tblStylePr w:type="nwCell">
      <w:rPr/>
      <w:tblPr/>
    </w:tblStylePr>
  </w:style>
  <w:style w:type="table" w:styleId="ColorfulShading-Accent3">
    <w:name w:val="Colorful Shading Accent 3"/>
    <w:basedOn w:val="TableNormal"/>
    <w:uiPriority w:val="71"/>
    <w:rsid w:val="00cb0664"/>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5E7530"/>
      </w:tcPr>
    </w:tblStylePr>
    <w:tblStylePr w:type="firstCol">
      <w:rPr/>
      <w:tblPr/>
      <w:tcPr>
        <w:tcBorders>
          <w:top w:val="nil"/>
          <w:left w:val="nil"/>
          <w:bottom w:val="nil"/>
          <w:right w:val="nil"/>
          <w:insideH w:val="single" w:color="5E7530" w:sz="4" w:space="0"/>
          <w:insideV w:val="nil"/>
        </w:tcBorders>
        <w:shd w:val="clear" w:color="auto" w:fill="5E7530"/>
      </w:tcPr>
    </w:tblStylePr>
    <w:tblStylePr w:type="lastCol">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4C3B62"/>
      </w:tcPr>
    </w:tblStylePr>
    <w:tblStylePr w:type="firstCol">
      <w:rPr/>
      <w:tblPr/>
      <w:tcPr>
        <w:tcBorders>
          <w:top w:val="nil"/>
          <w:left w:val="nil"/>
          <w:bottom w:val="nil"/>
          <w:right w:val="nil"/>
          <w:insideH w:val="single" w:color="4C3B62" w:sz="4" w:space="0"/>
          <w:insideV w:val="nil"/>
        </w:tcBorders>
        <w:shd w:val="clear" w:color="auto" w:fill="4C3B62"/>
      </w:tcPr>
    </w:tblStylePr>
    <w:tblStylePr w:type="lastCol">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tblPr/>
    </w:tblStylePr>
    <w:tblStylePr w:type="nwCell">
      <w:rPr/>
      <w:tblPr/>
    </w:tblStylePr>
  </w:style>
  <w:style w:type="table" w:styleId="ColorfulShading-Accent5">
    <w:name w:val="Colorful Shading Accent 5"/>
    <w:basedOn w:val="TableNormal"/>
    <w:uiPriority w:val="71"/>
    <w:rsid w:val="00cb0664"/>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276A7C"/>
      </w:tcPr>
    </w:tblStylePr>
    <w:tblStylePr w:type="firstCol">
      <w:rPr/>
      <w:tblPr/>
      <w:tcPr>
        <w:tcBorders>
          <w:top w:val="nil"/>
          <w:left w:val="nil"/>
          <w:bottom w:val="nil"/>
          <w:right w:val="nil"/>
          <w:insideH w:val="single" w:color="276A7C" w:sz="4" w:space="0"/>
          <w:insideV w:val="nil"/>
        </w:tcBorders>
        <w:shd w:val="clear" w:color="auto" w:fill="276A7C"/>
      </w:tcPr>
    </w:tblStylePr>
    <w:tblStylePr w:type="lastCol">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tblPr/>
    </w:tblStylePr>
    <w:tblStylePr w:type="nwCell">
      <w:rPr/>
      <w:tblPr/>
    </w:tblStylePr>
  </w:style>
  <w:style w:type="table" w:styleId="ColorfulShading-Accent6">
    <w:name w:val="Colorful Shading Accent 6"/>
    <w:basedOn w:val="TableNormal"/>
    <w:uiPriority w:val="71"/>
    <w:rsid w:val="00cb0664"/>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rPr>
      <w:tblPr/>
      <w:tcPr>
        <w:tcBorders>
          <w:top w:val="single" w:color="FFFFFF" w:sz="6" w:space="0"/>
        </w:tcBorders>
        <w:shd w:val="clear" w:color="auto" w:fill="B65608"/>
      </w:tcPr>
    </w:tblStylePr>
    <w:tblStylePr w:type="firstCol">
      <w:rPr/>
      <w:tblPr/>
      <w:tcPr>
        <w:tcBorders>
          <w:top w:val="nil"/>
          <w:left w:val="nil"/>
          <w:bottom w:val="nil"/>
          <w:right w:val="nil"/>
          <w:insideH w:val="single" w:color="B65608" w:sz="4" w:space="0"/>
          <w:insideV w:val="nil"/>
        </w:tcBorders>
        <w:shd w:val="clear" w:color="auto" w:fill="B65608"/>
      </w:tcPr>
    </w:tblStylePr>
    <w:tblStylePr w:type="lastCol">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tblPr/>
    </w:tblStylePr>
    <w:tblStylePr w:type="nwCell">
      <w:rPr/>
      <w:tblPr/>
    </w:tblStylePr>
  </w:style>
  <w:style w:type="table" w:styleId="ColorfulList">
    <w:name w:val="Colorful List"/>
    <w:basedOn w:val="TableNormal"/>
    <w:uiPriority w:val="72"/>
    <w:rsid w:val="00cb0664"/>
    <w:rPr/>
    <w:tblPr>
      <w:tblStyleRowBandSize w:val="1"/>
      <w:tblStyleColBandSize w:val="1"/>
    </w:tblPr>
    <w:tcPr>
      <w:shd w:val="clear" w:color="auto" w:fill="E6E6E6"/>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tblPr>
      <w:tblStyleRowBandSize w:val="1"/>
      <w:tblStyleColBandSize w:val="1"/>
    </w:tblPr>
    <w:tcPr>
      <w:shd w:val="clear" w:color="auto" w:fill="EDF2F8"/>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tblPr>
      <w:tblStyleRowBandSize w:val="1"/>
      <w:tblStyleColBandSize w:val="1"/>
    </w:tblPr>
    <w:tcPr>
      <w:shd w:val="clear" w:color="auto" w:fill="F8EDED"/>
    </w:tcPr>
    <w:tblStylePr w:type="firstRow">
      <w:rPr>
        <w:b/>
        <w:bCs/>
      </w:rPr>
      <w:tblPr/>
      <w:tcPr>
        <w:tcBorders>
          <w:bottom w:val="single" w:color="FFFFFF" w:sz="12" w:space="0"/>
        </w:tcBorders>
        <w:shd w:val="clear" w:color="auto" w:fill="9E3A38"/>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tblPr>
      <w:tblStyleRowBandSize w:val="1"/>
      <w:tblStyleColBandSize w:val="1"/>
    </w:tblPr>
    <w:tcPr>
      <w:shd w:val="clear" w:color="auto" w:fill="F5F8EE"/>
    </w:tcPr>
    <w:tblStylePr w:type="firstRow">
      <w:rPr>
        <w:b/>
        <w:bCs/>
      </w:rPr>
      <w:tblPr/>
      <w:tcPr>
        <w:tcBorders>
          <w:bottom w:val="single" w:color="FFFFFF" w:sz="12" w:space="0"/>
        </w:tcBorders>
        <w:shd w:val="clear" w:color="auto" w:fill="664E82"/>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tblPr>
      <w:tblStyleRowBandSize w:val="1"/>
      <w:tblStyleColBandSize w:val="1"/>
    </w:tblPr>
    <w:tcPr>
      <w:shd w:val="clear" w:color="auto" w:fill="F2EFF6"/>
    </w:tcPr>
    <w:tblStylePr w:type="firstRow">
      <w:rPr>
        <w:b/>
        <w:bCs/>
      </w:rPr>
      <w:tblPr/>
      <w:tcPr>
        <w:tcBorders>
          <w:bottom w:val="single" w:color="FFFFFF" w:sz="12" w:space="0"/>
        </w:tcBorders>
        <w:shd w:val="clear" w:color="auto" w:fill="7E9C40"/>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tblPr>
      <w:tblStyleRowBandSize w:val="1"/>
      <w:tblStyleColBandSize w:val="1"/>
    </w:tblPr>
    <w:tcPr>
      <w:shd w:val="clear" w:color="auto" w:fill="EDF6F9"/>
    </w:tcPr>
    <w:tblStylePr w:type="firstRow">
      <w:rPr>
        <w:b/>
        <w:bCs/>
      </w:rPr>
      <w:tblPr/>
      <w:tcPr>
        <w:tcBorders>
          <w:bottom w:val="single" w:color="FFFFFF" w:sz="12" w:space="0"/>
        </w:tcBorders>
        <w:shd w:val="clear" w:color="auto" w:fill="F2730A"/>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tblPr>
      <w:tblStyleRowBandSize w:val="1"/>
      <w:tblStyleColBandSize w:val="1"/>
    </w:tblPr>
    <w:tcPr>
      <w:shd w:val="clear" w:color="auto" w:fill="FEF4EC"/>
    </w:tcPr>
    <w:tblStylePr w:type="firstRow">
      <w:rPr>
        <w:b/>
        <w:bCs/>
      </w:rPr>
      <w:tblPr/>
      <w:tcPr>
        <w:tcBorders>
          <w:bottom w:val="single" w:color="FFFFFF" w:sz="12" w:space="0"/>
        </w:tcBorders>
        <w:shd w:val="clear" w:color="auto" w:fill="348DA5"/>
      </w:tcPr>
    </w:tblStylePr>
    <w:tblStylePr w:type="lastRow">
      <w:rPr>
        <w:b/>
        <w:bCs/>
      </w:rPr>
      <w:tblPr/>
      <w:tcPr>
        <w:tcBorders>
          <w:top w:val="single" w:color="000000" w:sz="12" w:space="0"/>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rPr/>
      <w:tblPr/>
      <w:tcPr>
        <w:shd w:val="clear" w:color="auto" w:fill="000000"/>
      </w:tcPr>
    </w:tblStylePr>
    <w:tblStylePr w:type="lastCol">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rPr/>
      <w:tblPr/>
      <w:tcPr>
        <w:shd w:val="clear" w:color="auto" w:fill="365F91"/>
      </w:tcPr>
    </w:tblStylePr>
    <w:tblStylePr w:type="lastCol">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rPr/>
      <w:tblPr/>
      <w:tcPr>
        <w:shd w:val="clear" w:color="auto" w:fill="943634"/>
      </w:tcPr>
    </w:tblStylePr>
    <w:tblStylePr w:type="lastCol">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rPr/>
      <w:tblPr/>
      <w:tcPr>
        <w:shd w:val="clear" w:color="auto" w:fill="76923C"/>
      </w:tcPr>
    </w:tblStylePr>
    <w:tblStylePr w:type="lastCol">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rPr/>
      <w:tblPr/>
      <w:tcPr>
        <w:shd w:val="clear" w:color="auto" w:fill="5F497A"/>
      </w:tcPr>
    </w:tblStylePr>
    <w:tblStylePr w:type="lastCol">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rPr/>
      <w:tblPr/>
      <w:tcPr>
        <w:shd w:val="clear" w:color="auto" w:fill="31849B"/>
      </w:tcPr>
    </w:tblStylePr>
    <w:tblStylePr w:type="lastCol">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rPr/>
      <w:tblPr/>
      <w:tcPr>
        <w:shd w:val="clear" w:color="auto" w:fill="E36C0A"/>
      </w:tcPr>
    </w:tblStylePr>
    <w:tblStylePr w:type="lastCol">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q=suite+scrm+database+schema&amp;sca_esv=c2edff9d8988f2fa&amp;sxsrf=APpeQnt4gYP-VHg-bRvsjZI75SBxs1sMNA%3A1790908500311&amp;source=hp&amp;ei=VBi_aoPSEbmz5NoPiImekQY&amp;iflsig=ABILxe8AAAAAar8mZD4oHbEQY5T7eD9SaDrv5UvsJ6rH&amp;oq=suite+scrm+database+sche&amp;gs_lp=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&amp;sclient=gws-" TargetMode="External"/><Relationship Id="rId3" Type="http://schemas.openxmlformats.org/officeDocument/2006/relationships/hyperlink" Target="https://suitecrm.com/demo/" TargetMode="External"/><Relationship Id="rId4" Type="http://schemas.openxmlformats.org/officeDocument/2006/relationships/hyperlink" Target="https://docs.suitecrm.com/developer/core-framework/database-schema/" TargetMode="External"/><Relationship Id="rId5" Type="http://schemas.openxmlformats.org/officeDocument/2006/relationships/hyperlink" Target="https://docs.suitecrm.com/schema/"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LibreOffice/26.2.1.2$Windows_X86_64 LibreOffice_project/620$Build-2</Application>
  <AppVersion>15.0000</AppVersion>
  <Pages>7</Pages>
  <Words>1564</Words>
  <Characters>11070</Characters>
  <CharactersWithSpaces>12524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2026-08-30T09:30:00Z</dcterms:created>
  <dc:creator>python-docx</dc:creator>
  <dc:description>generated by python-docx</dc:description>
  <dc:language>en-US</dc:language>
  <cp:lastModifiedBy/>
  <dcterms:modified xsi:type="dcterms:W3CDTF">2026-10-01T23:29:59Z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