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0F7118" w:rsidP="00E439B3">
      <w:pPr>
        <w:pStyle w:val="Title"/>
      </w:pPr>
      <w:r>
        <w:t>Hancock MLC Test on Elekta</w:t>
      </w:r>
    </w:p>
    <w:p w:rsidR="00E439B3" w:rsidRDefault="00E439B3" w:rsidP="00E439B3">
      <w:pPr>
        <w:pStyle w:val="Heading1"/>
      </w:pPr>
      <w:r>
        <w:t>Purpose</w:t>
      </w:r>
    </w:p>
    <w:p w:rsidR="000F7118" w:rsidRDefault="000F7118" w:rsidP="000F71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procedure </w:t>
      </w:r>
      <w:r w:rsidR="0070509A">
        <w:rPr>
          <w:rFonts w:ascii="Times New Roman" w:hAnsi="Times New Roman" w:cs="Times New Roman"/>
          <w:sz w:val="24"/>
        </w:rPr>
        <w:t>has two parts. Part 1 describes the QA patients used for the Hancock MLC test. Part 2 lists the steps taken to perform this test.</w:t>
      </w:r>
    </w:p>
    <w:p w:rsidR="0070509A" w:rsidRDefault="0070509A" w:rsidP="00E439B3">
      <w:pPr>
        <w:pStyle w:val="Heading1"/>
      </w:pPr>
      <w:r>
        <w:t>Hancock MLC QA Patients</w:t>
      </w:r>
    </w:p>
    <w:p w:rsidR="0070509A" w:rsidRDefault="0070509A" w:rsidP="007050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MOSAIQ patients used for the Hancock MLC test are ZZZ_ELEKTA1_QA, ELEKTA1 for Elekta-1, and ZZZ_ELEKTA2_QA, ELEKTA2 for Elekta-2. The treatment course used for Hancock MLC is course 1. The name of each field is the instrumentation that the field tests: MLC or JAW. The ID of each field is made up of the gantry angle, an 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for MLC or a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 xml:space="preserve"> for JAW, and a 1 for upper or a 2 for lower. For example, the highlighted field in the below photo tests the upper jaw at gantry 270.</w:t>
      </w:r>
    </w:p>
    <w:p w:rsidR="0070509A" w:rsidRDefault="0070509A" w:rsidP="007050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19475" cy="9493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e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88" cy="9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9A" w:rsidRDefault="0070509A" w:rsidP="007050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Hancock MLC test, you will only need to shoot the MLC fields, not the JAW fields.</w:t>
      </w:r>
    </w:p>
    <w:p w:rsidR="0070509A" w:rsidRPr="0070509A" w:rsidRDefault="0070509A" w:rsidP="00E439B3">
      <w:pPr>
        <w:pStyle w:val="Heading1"/>
      </w:pPr>
      <w:r>
        <w:t>Hancock MLC Test Procedure</w:t>
      </w:r>
    </w:p>
    <w:p w:rsidR="006C21CA" w:rsidRDefault="006C21CA" w:rsidP="000F7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up </w:t>
      </w:r>
      <w:proofErr w:type="spellStart"/>
      <w:r>
        <w:rPr>
          <w:rFonts w:ascii="Times New Roman" w:hAnsi="Times New Roman" w:cs="Times New Roman"/>
          <w:sz w:val="24"/>
        </w:rPr>
        <w:t>linac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7118" w:rsidRDefault="000F7118" w:rsidP="000A37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couch top.</w:t>
      </w:r>
    </w:p>
    <w:p w:rsidR="000F7118" w:rsidRPr="000A37E9" w:rsidRDefault="000F7118" w:rsidP="000A37E9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028700" cy="126969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ac couch with top remov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665" cy="13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18" w:rsidRDefault="002C19B3" w:rsidP="000A37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control panel to set couch to 0. (The ASU buttons will only adjust the couch if it is within ~2 mm of its correct position.)</w:t>
      </w:r>
    </w:p>
    <w:p w:rsidR="002C19B3" w:rsidRDefault="002C19B3" w:rsidP="000A37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teal scroll bar on the </w:t>
      </w:r>
      <w:proofErr w:type="spellStart"/>
      <w:r>
        <w:rPr>
          <w:rFonts w:ascii="Times New Roman" w:hAnsi="Times New Roman" w:cs="Times New Roman"/>
          <w:sz w:val="24"/>
        </w:rPr>
        <w:t>linac</w:t>
      </w:r>
      <w:proofErr w:type="spellEnd"/>
      <w:r>
        <w:rPr>
          <w:rFonts w:ascii="Times New Roman" w:hAnsi="Times New Roman" w:cs="Times New Roman"/>
          <w:sz w:val="24"/>
        </w:rPr>
        <w:t xml:space="preserve"> hand pendant to set the gantry to 180</w:t>
      </w:r>
      <w:r w:rsidR="001848DA">
        <w:rPr>
          <w:rFonts w:ascii="Times New Roman" w:hAnsi="Times New Roman" w:cs="Times New Roman"/>
          <w:sz w:val="24"/>
        </w:rPr>
        <w:t>°.</w:t>
      </w:r>
    </w:p>
    <w:p w:rsidR="001848DA" w:rsidRDefault="006C21CA" w:rsidP="000A37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left gray button on the </w:t>
      </w:r>
      <w:r w:rsidR="00133165">
        <w:rPr>
          <w:rFonts w:ascii="Times New Roman" w:hAnsi="Times New Roman" w:cs="Times New Roman"/>
          <w:sz w:val="24"/>
        </w:rPr>
        <w:t>iView</w:t>
      </w:r>
      <w:r>
        <w:rPr>
          <w:rFonts w:ascii="Times New Roman" w:hAnsi="Times New Roman" w:cs="Times New Roman"/>
          <w:sz w:val="24"/>
        </w:rPr>
        <w:t xml:space="preserve"> hand pendant to fully extend the MV imaging panel.</w:t>
      </w:r>
    </w:p>
    <w:p w:rsidR="006C21CA" w:rsidRDefault="006C21CA" w:rsidP="000A37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yellow button and the button directly below it to position the MV imaging panel according to the below photo.</w:t>
      </w:r>
    </w:p>
    <w:p w:rsidR="006C21CA" w:rsidRPr="000F7118" w:rsidRDefault="00316285" w:rsidP="006C21C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192041" cy="1047750"/>
            <wp:effectExtent l="0" t="0" r="8890" b="0"/>
            <wp:docPr id="3" name="Picture 3" descr="cid:43bceb8b-d388-491b-80b7-0bb80843eed3@crmchealth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3bceb8b-d388-491b-80b7-0bb80843eed3@crmchealth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26" r="35836" b="41292"/>
                    <a:stretch/>
                  </pic:blipFill>
                  <pic:spPr bwMode="auto">
                    <a:xfrm>
                      <a:off x="0" y="0"/>
                      <a:ext cx="3203919" cy="105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118" w:rsidRDefault="000F7118" w:rsidP="000F7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 patient in MOSAIQ</w:t>
      </w:r>
      <w:r w:rsidR="001848DA">
        <w:rPr>
          <w:rFonts w:ascii="Times New Roman" w:hAnsi="Times New Roman" w:cs="Times New Roman"/>
          <w:sz w:val="24"/>
        </w:rPr>
        <w:t xml:space="preserve"> (see Part 1)</w:t>
      </w:r>
      <w:r>
        <w:rPr>
          <w:rFonts w:ascii="Times New Roman" w:hAnsi="Times New Roman" w:cs="Times New Roman"/>
          <w:sz w:val="24"/>
        </w:rPr>
        <w:t>.</w:t>
      </w:r>
    </w:p>
    <w:p w:rsidR="001848DA" w:rsidRPr="001848DA" w:rsidRDefault="001848DA" w:rsidP="00184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QA Mode.</w:t>
      </w:r>
    </w:p>
    <w:p w:rsidR="000F7118" w:rsidRDefault="000F7118" w:rsidP="000A37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RO Treat.</w:t>
      </w:r>
    </w:p>
    <w:p w:rsidR="000F7118" w:rsidRDefault="000F7118" w:rsidP="000A37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QA Mode</w:t>
      </w:r>
      <w:r>
        <w:rPr>
          <w:rFonts w:ascii="Times New Roman" w:hAnsi="Times New Roman" w:cs="Times New Roman"/>
          <w:sz w:val="24"/>
        </w:rPr>
        <w:t>.</w:t>
      </w:r>
    </w:p>
    <w:p w:rsidR="001848DA" w:rsidRPr="001848DA" w:rsidRDefault="001848DA" w:rsidP="000A37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Yes</w:t>
      </w:r>
      <w:r>
        <w:rPr>
          <w:rFonts w:ascii="Times New Roman" w:hAnsi="Times New Roman" w:cs="Times New Roman"/>
          <w:sz w:val="24"/>
        </w:rPr>
        <w:t>.</w:t>
      </w:r>
    </w:p>
    <w:p w:rsidR="000F7118" w:rsidRDefault="001848DA" w:rsidP="000F7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 up first beam.</w:t>
      </w:r>
    </w:p>
    <w:p w:rsidR="000F7118" w:rsidRDefault="000F7118" w:rsidP="000A37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Highlight the first </w:t>
      </w:r>
      <w:r w:rsidR="001848DA">
        <w:rPr>
          <w:rFonts w:ascii="Times New Roman" w:hAnsi="Times New Roman" w:cs="Times New Roman"/>
          <w:sz w:val="24"/>
        </w:rPr>
        <w:t xml:space="preserve">MLC </w:t>
      </w:r>
      <w:r>
        <w:rPr>
          <w:rFonts w:ascii="Times New Roman" w:hAnsi="Times New Roman" w:cs="Times New Roman"/>
          <w:sz w:val="24"/>
        </w:rPr>
        <w:t xml:space="preserve">beam and click </w:t>
      </w:r>
      <w:r>
        <w:rPr>
          <w:rFonts w:ascii="Times New Roman" w:hAnsi="Times New Roman" w:cs="Times New Roman"/>
          <w:i/>
          <w:sz w:val="24"/>
        </w:rPr>
        <w:t>Select</w:t>
      </w:r>
      <w:r>
        <w:rPr>
          <w:rFonts w:ascii="Times New Roman" w:hAnsi="Times New Roman" w:cs="Times New Roman"/>
          <w:sz w:val="24"/>
        </w:rPr>
        <w:t>.</w:t>
      </w:r>
    </w:p>
    <w:p w:rsidR="000F7118" w:rsidRDefault="000F7118" w:rsidP="000A37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 w:rsidR="001848DA">
        <w:rPr>
          <w:rFonts w:ascii="Times New Roman" w:hAnsi="Times New Roman" w:cs="Times New Roman"/>
          <w:i/>
          <w:sz w:val="24"/>
        </w:rPr>
        <w:t>Close</w:t>
      </w:r>
      <w:r>
        <w:rPr>
          <w:rFonts w:ascii="Times New Roman" w:hAnsi="Times New Roman" w:cs="Times New Roman"/>
          <w:sz w:val="24"/>
        </w:rPr>
        <w:t>.</w:t>
      </w:r>
    </w:p>
    <w:p w:rsidR="000F7118" w:rsidRDefault="001848DA" w:rsidP="000A37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Wait until the only red fields are Gantry and/or </w:t>
      </w:r>
      <w:proofErr w:type="spellStart"/>
      <w:r>
        <w:rPr>
          <w:rFonts w:ascii="Times New Roman" w:hAnsi="Times New Roman" w:cs="Times New Roman"/>
          <w:sz w:val="24"/>
        </w:rPr>
        <w:t>Coll</w:t>
      </w:r>
      <w:proofErr w:type="spellEnd"/>
      <w:r>
        <w:rPr>
          <w:rFonts w:ascii="Times New Roman" w:hAnsi="Times New Roman" w:cs="Times New Roman"/>
          <w:sz w:val="24"/>
        </w:rPr>
        <w:t xml:space="preserve"> Ang</w:t>
      </w:r>
      <w:r w:rsidR="000A37E9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 xml:space="preserve">. Use the ASU button on the </w:t>
      </w:r>
      <w:proofErr w:type="spellStart"/>
      <w:r>
        <w:rPr>
          <w:rFonts w:ascii="Times New Roman" w:hAnsi="Times New Roman" w:cs="Times New Roman"/>
          <w:sz w:val="24"/>
        </w:rPr>
        <w:t>linac</w:t>
      </w:r>
      <w:proofErr w:type="spellEnd"/>
      <w:r>
        <w:rPr>
          <w:rFonts w:ascii="Times New Roman" w:hAnsi="Times New Roman" w:cs="Times New Roman"/>
          <w:sz w:val="24"/>
        </w:rPr>
        <w:t xml:space="preserve"> console to correct the Gantry and/or </w:t>
      </w:r>
      <w:proofErr w:type="spellStart"/>
      <w:r>
        <w:rPr>
          <w:rFonts w:ascii="Times New Roman" w:hAnsi="Times New Roman" w:cs="Times New Roman"/>
          <w:sz w:val="24"/>
        </w:rPr>
        <w:t>Coll</w:t>
      </w:r>
      <w:proofErr w:type="spellEnd"/>
      <w:r>
        <w:rPr>
          <w:rFonts w:ascii="Times New Roman" w:hAnsi="Times New Roman" w:cs="Times New Roman"/>
          <w:sz w:val="24"/>
        </w:rPr>
        <w:t xml:space="preserve"> Ang</w:t>
      </w:r>
      <w:r w:rsidR="000A37E9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>.</w:t>
      </w:r>
    </w:p>
    <w:p w:rsidR="00316285" w:rsidRDefault="00316285" w:rsidP="00184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iView.</w:t>
      </w:r>
    </w:p>
    <w:p w:rsidR="00316285" w:rsidRDefault="00316285" w:rsidP="000A37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Double-click iView icon on Desktop.</w:t>
      </w:r>
    </w:p>
    <w:p w:rsidR="00316285" w:rsidRDefault="00316285" w:rsidP="000A37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 in to Clinical Mode using username and password </w:t>
      </w:r>
      <w:proofErr w:type="spellStart"/>
      <w:r>
        <w:rPr>
          <w:rFonts w:ascii="Times New Roman" w:hAnsi="Times New Roman" w:cs="Times New Roman"/>
          <w:i/>
          <w:sz w:val="24"/>
        </w:rPr>
        <w:t>iview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848DA" w:rsidRDefault="001848DA" w:rsidP="00184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Prepare iView to acquire images.</w:t>
      </w:r>
    </w:p>
    <w:p w:rsidR="001848DA" w:rsidRDefault="000A37E9" w:rsidP="000A37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the New Patient icon to c</w:t>
      </w:r>
      <w:r w:rsidR="00316285">
        <w:rPr>
          <w:rFonts w:ascii="Times New Roman" w:hAnsi="Times New Roman" w:cs="Times New Roman"/>
          <w:sz w:val="24"/>
        </w:rPr>
        <w:t>reate a new patient with name according t</w:t>
      </w:r>
      <w:r>
        <w:rPr>
          <w:rFonts w:ascii="Times New Roman" w:hAnsi="Times New Roman" w:cs="Times New Roman"/>
          <w:sz w:val="24"/>
        </w:rPr>
        <w:t>o step (2).</w:t>
      </w:r>
    </w:p>
    <w:p w:rsidR="00316285" w:rsidRDefault="000A37E9" w:rsidP="000A37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Site1.</w:t>
      </w:r>
      <w:r w:rsidR="002F4D5B">
        <w:rPr>
          <w:rFonts w:ascii="Times New Roman" w:hAnsi="Times New Roman" w:cs="Times New Roman"/>
          <w:sz w:val="24"/>
        </w:rPr>
        <w:t xml:space="preserve"> There is no need to select individual fields.</w:t>
      </w:r>
    </w:p>
    <w:p w:rsidR="000A37E9" w:rsidRDefault="000A37E9" w:rsidP="000A37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the </w:t>
      </w:r>
      <w:proofErr w:type="spellStart"/>
      <w:r>
        <w:rPr>
          <w:rFonts w:ascii="Times New Roman" w:hAnsi="Times New Roman" w:cs="Times New Roman"/>
          <w:sz w:val="24"/>
        </w:rPr>
        <w:t>iCom</w:t>
      </w:r>
      <w:proofErr w:type="spellEnd"/>
      <w:r>
        <w:rPr>
          <w:rFonts w:ascii="Times New Roman" w:hAnsi="Times New Roman" w:cs="Times New Roman"/>
          <w:sz w:val="24"/>
        </w:rPr>
        <w:t xml:space="preserve"> icon. Note that step (4) must be complete in order for this to work!</w:t>
      </w:r>
    </w:p>
    <w:p w:rsidR="000A37E9" w:rsidRDefault="000A37E9" w:rsidP="000A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Deliver beams.</w:t>
      </w:r>
    </w:p>
    <w:p w:rsidR="000A37E9" w:rsidRDefault="000A37E9" w:rsidP="000A3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moded</w:t>
      </w:r>
      <w:proofErr w:type="spellEnd"/>
      <w:r>
        <w:rPr>
          <w:rFonts w:ascii="Times New Roman" w:hAnsi="Times New Roman" w:cs="Times New Roman"/>
          <w:sz w:val="24"/>
        </w:rPr>
        <w:t xml:space="preserve"> beam will automatically load in iView. When iView says “Ready to acquire…” and top strip in bottom left corner of </w:t>
      </w:r>
      <w:proofErr w:type="spellStart"/>
      <w:r>
        <w:rPr>
          <w:rFonts w:ascii="Times New Roman" w:hAnsi="Times New Roman" w:cs="Times New Roman"/>
          <w:sz w:val="24"/>
        </w:rPr>
        <w:t>linac</w:t>
      </w:r>
      <w:proofErr w:type="spellEnd"/>
      <w:r>
        <w:rPr>
          <w:rFonts w:ascii="Times New Roman" w:hAnsi="Times New Roman" w:cs="Times New Roman"/>
          <w:sz w:val="24"/>
        </w:rPr>
        <w:t xml:space="preserve"> computer says “Ready to </w:t>
      </w:r>
      <w:proofErr w:type="gramStart"/>
      <w:r>
        <w:rPr>
          <w:rFonts w:ascii="Times New Roman" w:hAnsi="Times New Roman" w:cs="Times New Roman"/>
          <w:sz w:val="24"/>
        </w:rPr>
        <w:t>Treat</w:t>
      </w:r>
      <w:proofErr w:type="gramEnd"/>
      <w:r>
        <w:rPr>
          <w:rFonts w:ascii="Times New Roman" w:hAnsi="Times New Roman" w:cs="Times New Roman"/>
          <w:sz w:val="24"/>
        </w:rPr>
        <w:t xml:space="preserve">,” press the green MV button on the </w:t>
      </w:r>
      <w:proofErr w:type="spellStart"/>
      <w:r>
        <w:rPr>
          <w:rFonts w:ascii="Times New Roman" w:hAnsi="Times New Roman" w:cs="Times New Roman"/>
          <w:sz w:val="24"/>
        </w:rPr>
        <w:t>linac</w:t>
      </w:r>
      <w:proofErr w:type="spellEnd"/>
      <w:r>
        <w:rPr>
          <w:rFonts w:ascii="Times New Roman" w:hAnsi="Times New Roman" w:cs="Times New Roman"/>
          <w:sz w:val="24"/>
        </w:rPr>
        <w:t xml:space="preserve"> console to deliver beam.</w:t>
      </w:r>
    </w:p>
    <w:p w:rsidR="000A37E9" w:rsidRDefault="000A37E9" w:rsidP="000A3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beam finished, click </w:t>
      </w:r>
      <w:r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sz w:val="24"/>
        </w:rPr>
        <w:t xml:space="preserve"> in MOSAIQ.</w:t>
      </w:r>
    </w:p>
    <w:p w:rsidR="000A37E9" w:rsidRDefault="000A37E9" w:rsidP="000A3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steps (4) and (7b) for the remaining MLC beams. Do not close iView until all beams have been recorded.</w:t>
      </w:r>
    </w:p>
    <w:p w:rsidR="000A37E9" w:rsidRDefault="000A37E9" w:rsidP="000A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proofErr w:type="gramStart"/>
      <w:r w:rsidRPr="000A37E9">
        <w:rPr>
          <w:rFonts w:ascii="Times New Roman" w:hAnsi="Times New Roman" w:cs="Times New Roman"/>
          <w:i/>
          <w:sz w:val="24"/>
        </w:rPr>
        <w:t>Done</w:t>
      </w:r>
      <w:proofErr w:type="gramEnd"/>
      <w:r>
        <w:rPr>
          <w:rFonts w:ascii="Times New Roman" w:hAnsi="Times New Roman" w:cs="Times New Roman"/>
          <w:sz w:val="24"/>
        </w:rPr>
        <w:t xml:space="preserve"> icon in iView.</w:t>
      </w:r>
      <w:bookmarkStart w:id="0" w:name="_GoBack"/>
      <w:bookmarkEnd w:id="0"/>
    </w:p>
    <w:p w:rsidR="000A37E9" w:rsidRPr="000F7118" w:rsidRDefault="000A37E9" w:rsidP="000A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Analyze images using SNC Routine.</w:t>
      </w:r>
    </w:p>
    <w:sectPr w:rsidR="000A37E9" w:rsidRPr="000F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565"/>
    <w:multiLevelType w:val="hybridMultilevel"/>
    <w:tmpl w:val="0882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58BA"/>
    <w:multiLevelType w:val="hybridMultilevel"/>
    <w:tmpl w:val="2472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6915"/>
    <w:multiLevelType w:val="hybridMultilevel"/>
    <w:tmpl w:val="3D56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D0D9A"/>
    <w:multiLevelType w:val="hybridMultilevel"/>
    <w:tmpl w:val="E8DCC9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F0E52"/>
    <w:multiLevelType w:val="hybridMultilevel"/>
    <w:tmpl w:val="2388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B02EE"/>
    <w:multiLevelType w:val="hybridMultilevel"/>
    <w:tmpl w:val="0954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35A73"/>
    <w:multiLevelType w:val="hybridMultilevel"/>
    <w:tmpl w:val="EC3C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16"/>
    <w:rsid w:val="000A37E9"/>
    <w:rsid w:val="000F7118"/>
    <w:rsid w:val="00133165"/>
    <w:rsid w:val="001848DA"/>
    <w:rsid w:val="002C19B3"/>
    <w:rsid w:val="002F4D5B"/>
    <w:rsid w:val="00316285"/>
    <w:rsid w:val="00517C16"/>
    <w:rsid w:val="006C21CA"/>
    <w:rsid w:val="0070509A"/>
    <w:rsid w:val="00B04492"/>
    <w:rsid w:val="00E4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3091"/>
  <w15:chartTrackingRefBased/>
  <w15:docId w15:val="{F07B3655-62E9-43D8-A751-2B1FCC3E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16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3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43bceb8b-d388-491b-80b7-0bb80843eed3@crmchealth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cp:lastPrinted>2021-04-28T15:28:00Z</cp:lastPrinted>
  <dcterms:created xsi:type="dcterms:W3CDTF">2020-07-22T19:40:00Z</dcterms:created>
  <dcterms:modified xsi:type="dcterms:W3CDTF">2022-03-11T20:37:00Z</dcterms:modified>
</cp:coreProperties>
</file>