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46" w:rsidRDefault="00001D46" w:rsidP="00016DFE">
      <w:pPr>
        <w:pStyle w:val="Title"/>
      </w:pPr>
      <w:r w:rsidRPr="007C4583">
        <w:t xml:space="preserve">TG-51 Elekta Solid Water </w:t>
      </w:r>
      <w:r>
        <w:t xml:space="preserve">Photon </w:t>
      </w:r>
      <w:r w:rsidRPr="007C4583">
        <w:t>Calibration</w:t>
      </w:r>
    </w:p>
    <w:p w:rsidR="00016DFE" w:rsidRDefault="00016DFE" w:rsidP="00016DFE">
      <w:pPr>
        <w:pStyle w:val="Heading1"/>
      </w:pPr>
      <w:r>
        <w:t>Purpose</w:t>
      </w:r>
    </w:p>
    <w:p w:rsidR="00D235BB" w:rsidRDefault="00D235BB" w:rsidP="00D235B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procedure details the steps involved in performing a solid </w:t>
      </w:r>
      <w:r w:rsidR="00CB21C9">
        <w:rPr>
          <w:rFonts w:ascii="Times New Roman" w:hAnsi="Times New Roman"/>
          <w:sz w:val="24"/>
        </w:rPr>
        <w:t xml:space="preserve">water calibration of photons </w:t>
      </w:r>
      <w:r>
        <w:rPr>
          <w:rFonts w:ascii="Times New Roman" w:hAnsi="Times New Roman"/>
          <w:sz w:val="24"/>
        </w:rPr>
        <w:t xml:space="preserve">CRMC’s Elekta Infinity machines. A spreadsheet performs necessary calculations, including the dose at </w:t>
      </w:r>
      <w:proofErr w:type="spellStart"/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/>
          <w:sz w:val="24"/>
        </w:rPr>
        <w:t xml:space="preserve"> in water, but these formulas and other information are provided in the Appendix.</w:t>
      </w:r>
    </w:p>
    <w:p w:rsidR="00016DFE" w:rsidRPr="00D235BB" w:rsidRDefault="00016DFE" w:rsidP="00016DFE">
      <w:pPr>
        <w:pStyle w:val="Heading1"/>
      </w:pPr>
      <w:r>
        <w:t>Steps</w:t>
      </w:r>
    </w:p>
    <w:p w:rsidR="00001D46" w:rsidRPr="00726987" w:rsidRDefault="00016DFE" w:rsidP="00016DFE">
      <w:pPr>
        <w:pStyle w:val="Heading2"/>
      </w:pPr>
      <w:r>
        <w:t xml:space="preserve">In </w:t>
      </w:r>
      <w:r w:rsidR="0080299E">
        <w:t>Hot Lab</w:t>
      </w:r>
    </w:p>
    <w:p w:rsidR="00001D46" w:rsidRDefault="00001D46" w:rsidP="00001D4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few hours before you perform the calibration, insert the thermometer into the solid water. The thermometer </w:t>
      </w:r>
      <w:r w:rsidR="00CB21C9">
        <w:rPr>
          <w:rFonts w:ascii="Times New Roman" w:hAnsi="Times New Roman"/>
          <w:sz w:val="24"/>
        </w:rPr>
        <w:t>and solid water are on the Elekta cart in the hot lab. The hot lab key is in the cabinet to the right of Kaley’s desk.</w:t>
      </w:r>
    </w:p>
    <w:p w:rsidR="00001D46" w:rsidRPr="00726987" w:rsidRDefault="00016DFE" w:rsidP="00016DFE">
      <w:pPr>
        <w:pStyle w:val="Heading2"/>
      </w:pPr>
      <w:r>
        <w:t>In Physics</w:t>
      </w:r>
    </w:p>
    <w:p w:rsidR="00EB2141" w:rsidRDefault="00EB2141" w:rsidP="00EB214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Read the pressure using the barometer by the door. Fill in three less than the reading on the spreadsheet.</w:t>
      </w:r>
    </w:p>
    <w:p w:rsidR="00001D46" w:rsidRPr="00726987" w:rsidRDefault="00016DFE" w:rsidP="00016DFE">
      <w:pPr>
        <w:pStyle w:val="Heading2"/>
      </w:pPr>
      <w:r>
        <w:t>At Elekta console</w:t>
      </w:r>
    </w:p>
    <w:p w:rsidR="00001D46" w:rsidRDefault="00001D46" w:rsidP="00EB214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Attach the electrometer to the white </w:t>
      </w:r>
      <w:proofErr w:type="spellStart"/>
      <w:r>
        <w:rPr>
          <w:rFonts w:ascii="Times New Roman" w:hAnsi="Times New Roman"/>
          <w:sz w:val="24"/>
        </w:rPr>
        <w:t>triax</w:t>
      </w:r>
      <w:proofErr w:type="spellEnd"/>
      <w:r>
        <w:rPr>
          <w:rFonts w:ascii="Times New Roman" w:hAnsi="Times New Roman"/>
          <w:sz w:val="24"/>
        </w:rPr>
        <w:t xml:space="preserve"> cable. Turn on electrometer to allow to warm up.</w:t>
      </w:r>
    </w:p>
    <w:p w:rsidR="00001D46" w:rsidRDefault="00016DFE" w:rsidP="00016DFE">
      <w:pPr>
        <w:pStyle w:val="Heading2"/>
      </w:pPr>
      <w:r>
        <w:t>In Elekta treatment room</w:t>
      </w:r>
    </w:p>
    <w:p w:rsidR="0080299E" w:rsidRPr="0080299E" w:rsidRDefault="0080299E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Bring the Elekta cart from the hot lab into the treatment room. Remove the thermometer from the so</w:t>
      </w:r>
      <w:r>
        <w:rPr>
          <w:rFonts w:ascii="Times New Roman" w:hAnsi="Times New Roman"/>
          <w:sz w:val="24"/>
        </w:rPr>
        <w:t>lid water and note temperature.</w:t>
      </w:r>
    </w:p>
    <w:p w:rsidR="00001D46" w:rsidRDefault="00001D46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Insert </w:t>
      </w:r>
      <w:r w:rsidR="009146F8">
        <w:rPr>
          <w:rFonts w:ascii="Times New Roman" w:hAnsi="Times New Roman"/>
          <w:sz w:val="24"/>
        </w:rPr>
        <w:t>the 10×10 cone into the machine and the cutout into the cone.</w:t>
      </w:r>
    </w:p>
    <w:p w:rsidR="00001D46" w:rsidRDefault="00001D46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Place the indexing bar at position 2 on table.</w:t>
      </w:r>
    </w:p>
    <w:p w:rsidR="00001D46" w:rsidRDefault="00001D46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Put 10 cm of solid water on the table. The easiest way to make 10 cm is with a 6 cm and a 4 cm block. </w:t>
      </w:r>
    </w:p>
    <w:p w:rsidR="00001D46" w:rsidRDefault="00001D46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the solid water block with the hole for the ion chamber.</w:t>
      </w:r>
    </w:p>
    <w:p w:rsidR="00001D46" w:rsidRDefault="00001D46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Insert the cylindrical ion chamber into the solid water. Be sure to remove cap first!</w:t>
      </w:r>
    </w:p>
    <w:p w:rsidR="00001D46" w:rsidRDefault="00001D46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the tape on the ion chamber box to secure the ion chamber inside the hole.</w:t>
      </w:r>
      <w:r w:rsidR="007E0B78">
        <w:rPr>
          <w:rFonts w:ascii="Times New Roman" w:hAnsi="Times New Roman"/>
          <w:sz w:val="24"/>
        </w:rPr>
        <w:t xml:space="preserve"> Scoot the box toward the solid water to help secure as well.</w:t>
      </w:r>
    </w:p>
    <w:p w:rsidR="00001D46" w:rsidRDefault="00001D46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Attach the ion chamber to the white </w:t>
      </w:r>
      <w:proofErr w:type="spellStart"/>
      <w:r>
        <w:rPr>
          <w:rFonts w:ascii="Times New Roman" w:hAnsi="Times New Roman"/>
          <w:sz w:val="24"/>
        </w:rPr>
        <w:t>triax</w:t>
      </w:r>
      <w:proofErr w:type="spellEnd"/>
      <w:r>
        <w:rPr>
          <w:rFonts w:ascii="Times New Roman" w:hAnsi="Times New Roman"/>
          <w:sz w:val="24"/>
        </w:rPr>
        <w:t xml:space="preserve"> cable that leads into the Engineers Room. Secure the cable on the table using tape.</w:t>
      </w:r>
    </w:p>
    <w:p w:rsidR="007E0B78" w:rsidRDefault="007E0B7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Locate </w:t>
      </w:r>
      <w:proofErr w:type="spellStart"/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/>
          <w:sz w:val="24"/>
        </w:rPr>
        <w:t xml:space="preserve"> on the spreadsheet for the energy you are testing. Add that much solid water.</w:t>
      </w:r>
      <w:r w:rsidR="009146F8">
        <w:rPr>
          <w:rFonts w:ascii="Times New Roman" w:hAnsi="Times New Roman"/>
          <w:sz w:val="24"/>
        </w:rPr>
        <w:t xml:space="preserve"> For photons, do not count any depth on the solid water with the hole, toward </w:t>
      </w:r>
      <w:proofErr w:type="spellStart"/>
      <w:r w:rsidR="009146F8">
        <w:rPr>
          <w:rFonts w:ascii="Times New Roman" w:hAnsi="Times New Roman"/>
          <w:sz w:val="24"/>
        </w:rPr>
        <w:t>D</w:t>
      </w:r>
      <w:r w:rsidR="009146F8">
        <w:rPr>
          <w:rFonts w:ascii="Times New Roman" w:hAnsi="Times New Roman"/>
          <w:sz w:val="24"/>
          <w:vertAlign w:val="subscript"/>
        </w:rPr>
        <w:t>max</w:t>
      </w:r>
      <w:proofErr w:type="spellEnd"/>
      <w:r w:rsidR="009146F8">
        <w:rPr>
          <w:rFonts w:ascii="Times New Roman" w:hAnsi="Times New Roman"/>
          <w:sz w:val="24"/>
        </w:rPr>
        <w:t>.</w:t>
      </w:r>
    </w:p>
    <w:p w:rsidR="007E0B78" w:rsidRDefault="007E0B7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Align the x and y lasers to the marks on the sides of the solid water.</w:t>
      </w:r>
    </w:p>
    <w:p w:rsidR="00001D46" w:rsidRDefault="00001D46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Align the z lasers to edge of top of solid water phantom. When the z laser is properly aligned, you should see dust on top of the phantom.</w:t>
      </w:r>
    </w:p>
    <w:p w:rsidR="00001D46" w:rsidRDefault="00016DFE" w:rsidP="00016DFE">
      <w:pPr>
        <w:pStyle w:val="Heading2"/>
      </w:pPr>
      <w:r>
        <w:lastRenderedPageBreak/>
        <w:t>At Elekta console</w:t>
      </w:r>
    </w:p>
    <w:p w:rsidR="0080299E" w:rsidRPr="0080299E" w:rsidRDefault="0080299E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the rightmost computer at the Elekta console, make a copy of the TG-51 Elekta Solid Water Photon Cal spreadsheet. </w:t>
      </w:r>
      <w:r w:rsidRPr="00EB2141">
        <w:rPr>
          <w:rFonts w:ascii="Times New Roman" w:hAnsi="Times New Roman"/>
          <w:sz w:val="24"/>
        </w:rPr>
        <w:t xml:space="preserve">Enter the temperature </w:t>
      </w:r>
      <w:r>
        <w:rPr>
          <w:rFonts w:ascii="Times New Roman" w:hAnsi="Times New Roman"/>
          <w:sz w:val="24"/>
        </w:rPr>
        <w:t xml:space="preserve">and pressure </w:t>
      </w:r>
      <w:r w:rsidRPr="00EB2141">
        <w:rPr>
          <w:rFonts w:ascii="Times New Roman" w:hAnsi="Times New Roman"/>
          <w:sz w:val="24"/>
        </w:rPr>
        <w:t>in the spreadsheet.</w:t>
      </w:r>
    </w:p>
    <w:p w:rsidR="009146F8" w:rsidRDefault="009146F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Zero the electrometer by pressing the ZERO/MODE button.</w:t>
      </w:r>
    </w:p>
    <w:p w:rsidR="009146F8" w:rsidRDefault="009146F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the electrometer bias to -300V. 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Press the ZERO/MODE button until </w:t>
      </w:r>
      <w:r>
        <w:rPr>
          <w:rFonts w:ascii="Times New Roman" w:hAnsi="Times New Roman"/>
          <w:i/>
          <w:sz w:val="24"/>
        </w:rPr>
        <w:t>Bias</w:t>
      </w:r>
      <w:r>
        <w:rPr>
          <w:rFonts w:ascii="Times New Roman" w:hAnsi="Times New Roman"/>
          <w:sz w:val="24"/>
        </w:rPr>
        <w:t xml:space="preserve"> is the bottom setting on the electrometer.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the down arrow to set the bias to -300. Ensure that -300 is inside the parentheses as well.</w:t>
      </w:r>
    </w:p>
    <w:p w:rsidR="009146F8" w:rsidRDefault="009146F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Put the middle computer into Service Mode.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Click </w:t>
      </w:r>
      <w:r>
        <w:rPr>
          <w:rFonts w:ascii="Times New Roman" w:hAnsi="Times New Roman"/>
          <w:i/>
          <w:sz w:val="24"/>
        </w:rPr>
        <w:t>Exit</w:t>
      </w:r>
      <w:r>
        <w:rPr>
          <w:rFonts w:ascii="Times New Roman" w:hAnsi="Times New Roman"/>
          <w:sz w:val="24"/>
        </w:rPr>
        <w:t>.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 the Mode icon.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Log in with username and password </w:t>
      </w:r>
      <w:r>
        <w:rPr>
          <w:rFonts w:ascii="Times New Roman" w:hAnsi="Times New Roman"/>
          <w:i/>
          <w:sz w:val="24"/>
        </w:rPr>
        <w:t>service</w:t>
      </w:r>
      <w:r>
        <w:rPr>
          <w:rFonts w:ascii="Times New Roman" w:hAnsi="Times New Roman"/>
          <w:sz w:val="24"/>
        </w:rPr>
        <w:t>.</w:t>
      </w:r>
    </w:p>
    <w:p w:rsidR="009146F8" w:rsidRDefault="009146F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Perform the following steps for each </w:t>
      </w:r>
      <w:r w:rsidR="00E97606">
        <w:rPr>
          <w:rFonts w:ascii="Times New Roman" w:hAnsi="Times New Roman"/>
          <w:sz w:val="24"/>
        </w:rPr>
        <w:t>6X, 10X, and 18X</w:t>
      </w:r>
      <w:r>
        <w:rPr>
          <w:rFonts w:ascii="Times New Roman" w:hAnsi="Times New Roman"/>
          <w:sz w:val="24"/>
        </w:rPr>
        <w:t>: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 the wrench icon and then the Deliver Quick Beam icon.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 Radiation tab, set the following:</w:t>
      </w:r>
    </w:p>
    <w:p w:rsidR="009146F8" w:rsidRDefault="009146F8" w:rsidP="0080299E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Modality: </w:t>
      </w:r>
      <w:r w:rsidR="00E97606">
        <w:rPr>
          <w:rFonts w:ascii="Times New Roman" w:hAnsi="Times New Roman"/>
          <w:sz w:val="24"/>
        </w:rPr>
        <w:t>x-rays</w:t>
      </w:r>
    </w:p>
    <w:p w:rsidR="009146F8" w:rsidRDefault="009146F8" w:rsidP="0080299E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Energy: </w:t>
      </w:r>
      <w:r w:rsidR="00E97606">
        <w:rPr>
          <w:rFonts w:ascii="Times New Roman" w:hAnsi="Times New Roman"/>
          <w:sz w:val="24"/>
        </w:rPr>
        <w:t>6X, 10X, or 18X</w:t>
      </w:r>
    </w:p>
    <w:p w:rsidR="009146F8" w:rsidRDefault="009146F8" w:rsidP="0080299E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MLC1: 100 (MLC2 will automatically set to 2 percent more than MLC1)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Click </w:t>
      </w:r>
      <w:r>
        <w:rPr>
          <w:rFonts w:ascii="Times New Roman" w:hAnsi="Times New Roman"/>
          <w:i/>
          <w:sz w:val="24"/>
        </w:rPr>
        <w:t>Load</w:t>
      </w:r>
      <w:r>
        <w:rPr>
          <w:rFonts w:ascii="Times New Roman" w:hAnsi="Times New Roman"/>
          <w:sz w:val="24"/>
        </w:rPr>
        <w:t xml:space="preserve"> and then </w:t>
      </w:r>
      <w:r>
        <w:rPr>
          <w:rFonts w:ascii="Times New Roman" w:hAnsi="Times New Roman"/>
          <w:i/>
          <w:sz w:val="24"/>
        </w:rPr>
        <w:t>Confirm</w:t>
      </w:r>
      <w:r>
        <w:rPr>
          <w:rFonts w:ascii="Times New Roman" w:hAnsi="Times New Roman"/>
          <w:sz w:val="24"/>
        </w:rPr>
        <w:t>.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Press the ZERO/MODE button on the electrometer.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Press the MV button on the Elekta console to deliver the beam.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the spreadsheet, record the electrometer reading in the </w:t>
      </w:r>
      <w:r>
        <w:rPr>
          <w:rFonts w:ascii="Times New Roman" w:hAnsi="Times New Roman"/>
          <w:i/>
          <w:sz w:val="24"/>
        </w:rPr>
        <w:t>Charge</w:t>
      </w:r>
      <w:r>
        <w:rPr>
          <w:rFonts w:ascii="Times New Roman" w:hAnsi="Times New Roman"/>
          <w:sz w:val="24"/>
        </w:rPr>
        <w:t xml:space="preserve"> table for </w:t>
      </w:r>
      <w:proofErr w:type="gramStart"/>
      <w:r>
        <w:rPr>
          <w:rFonts w:ascii="Times New Roman" w:hAnsi="Times New Roman"/>
          <w:sz w:val="24"/>
        </w:rPr>
        <w:t>V(</w:t>
      </w:r>
      <w:proofErr w:type="gramEnd"/>
      <w:r>
        <w:rPr>
          <w:rFonts w:ascii="Times New Roman" w:hAnsi="Times New Roman"/>
          <w:sz w:val="24"/>
        </w:rPr>
        <w:t xml:space="preserve">-), V(+), and 1/2V(-). (For the monthly calibrations, we use </w:t>
      </w:r>
      <w:proofErr w:type="gramStart"/>
      <w:r>
        <w:rPr>
          <w:rFonts w:ascii="Times New Roman" w:hAnsi="Times New Roman"/>
          <w:sz w:val="24"/>
        </w:rPr>
        <w:t>V(</w:t>
      </w:r>
      <w:proofErr w:type="gramEnd"/>
      <w:r>
        <w:rPr>
          <w:rFonts w:ascii="Times New Roman" w:hAnsi="Times New Roman"/>
          <w:sz w:val="24"/>
        </w:rPr>
        <w:t>-) to approximate V(+) and 1/2V(-), since the yearly calibration is with V(-).) Ensure that your readings is close to the reading already on the spreadsheet.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Click </w:t>
      </w:r>
      <w:r>
        <w:rPr>
          <w:rFonts w:ascii="Times New Roman" w:hAnsi="Times New Roman"/>
          <w:i/>
          <w:sz w:val="24"/>
        </w:rPr>
        <w:t>Next Beam</w:t>
      </w:r>
      <w:r>
        <w:rPr>
          <w:rFonts w:ascii="Times New Roman" w:hAnsi="Times New Roman"/>
          <w:sz w:val="24"/>
        </w:rPr>
        <w:t>.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Repeat steps (c)–(f) for the second reading.</w:t>
      </w:r>
    </w:p>
    <w:p w:rsid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the first and second readings are not the same, take a third reading.</w:t>
      </w:r>
    </w:p>
    <w:p w:rsidR="009146F8" w:rsidRPr="009146F8" w:rsidRDefault="009146F8" w:rsidP="0080299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Note the value in pink at the bottom of the spreadsheet. Record this value in the </w:t>
      </w:r>
      <w:r>
        <w:rPr>
          <w:rFonts w:ascii="Times New Roman" w:hAnsi="Times New Roman"/>
          <w:i/>
          <w:sz w:val="24"/>
        </w:rPr>
        <w:t>Calibration Results</w:t>
      </w:r>
      <w:r>
        <w:rPr>
          <w:rFonts w:ascii="Times New Roman" w:hAnsi="Times New Roman"/>
          <w:sz w:val="24"/>
        </w:rPr>
        <w:t xml:space="preserve"> table. </w:t>
      </w:r>
    </w:p>
    <w:p w:rsidR="009146F8" w:rsidRDefault="009146F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Turn off </w:t>
      </w:r>
      <w:r>
        <w:rPr>
          <w:rFonts w:ascii="Times New Roman" w:hAnsi="Times New Roman"/>
          <w:i/>
          <w:sz w:val="24"/>
        </w:rPr>
        <w:t xml:space="preserve">then </w:t>
      </w:r>
      <w:r>
        <w:rPr>
          <w:rFonts w:ascii="Times New Roman" w:hAnsi="Times New Roman"/>
          <w:sz w:val="24"/>
        </w:rPr>
        <w:t>unplug electrometer.</w:t>
      </w:r>
    </w:p>
    <w:p w:rsidR="009146F8" w:rsidRDefault="009146F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 out of Service Mode.</w:t>
      </w:r>
    </w:p>
    <w:p w:rsidR="009146F8" w:rsidRDefault="009146F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Remove ion chamber from solid water and unplug </w:t>
      </w:r>
      <w:proofErr w:type="spellStart"/>
      <w:r>
        <w:rPr>
          <w:rFonts w:ascii="Times New Roman" w:hAnsi="Times New Roman"/>
          <w:sz w:val="24"/>
        </w:rPr>
        <w:t>triax</w:t>
      </w:r>
      <w:proofErr w:type="spellEnd"/>
      <w:r>
        <w:rPr>
          <w:rFonts w:ascii="Times New Roman" w:hAnsi="Times New Roman"/>
          <w:sz w:val="24"/>
        </w:rPr>
        <w:t xml:space="preserve"> cable.</w:t>
      </w:r>
    </w:p>
    <w:p w:rsidR="009146F8" w:rsidRDefault="009146F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4D7A12"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>ut solid water back on cart.</w:t>
      </w:r>
    </w:p>
    <w:p w:rsidR="009146F8" w:rsidRDefault="009146F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4D7A12">
        <w:rPr>
          <w:rFonts w:ascii="Times New Roman" w:hAnsi="Times New Roman"/>
          <w:sz w:val="24"/>
        </w:rPr>
        <w:t>Remove cone</w:t>
      </w:r>
      <w:r>
        <w:rPr>
          <w:rFonts w:ascii="Times New Roman" w:hAnsi="Times New Roman"/>
          <w:sz w:val="24"/>
        </w:rPr>
        <w:t xml:space="preserve"> from machine</w:t>
      </w:r>
      <w:r w:rsidRPr="004D7A12">
        <w:rPr>
          <w:rFonts w:ascii="Times New Roman" w:hAnsi="Times New Roman"/>
          <w:sz w:val="24"/>
        </w:rPr>
        <w:t>.</w:t>
      </w:r>
    </w:p>
    <w:p w:rsidR="00D235BB" w:rsidRPr="00016DFE" w:rsidRDefault="009146F8" w:rsidP="0080299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Roll cart back into the E-1 Engineers Room.</w:t>
      </w:r>
    </w:p>
    <w:p w:rsidR="00016DFE" w:rsidRDefault="00016DFE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35BB" w:rsidRDefault="00D235BB" w:rsidP="00016DFE">
      <w:pPr>
        <w:pStyle w:val="Heading1"/>
      </w:pPr>
      <w:r>
        <w:lastRenderedPageBreak/>
        <w:t>Appendix</w:t>
      </w:r>
    </w:p>
    <w:p w:rsidR="00D235BB" w:rsidRDefault="00D235BB" w:rsidP="00D235B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7C4486">
        <w:rPr>
          <w:rFonts w:ascii="Times New Roman" w:hAnsi="Times New Roman"/>
          <w:i/>
          <w:sz w:val="24"/>
        </w:rPr>
        <w:t xml:space="preserve">TP </w:t>
      </w:r>
      <w:r w:rsidR="007C4486" w:rsidRPr="007C4486">
        <w:rPr>
          <w:rFonts w:ascii="Times New Roman" w:hAnsi="Times New Roman"/>
          <w:i/>
          <w:sz w:val="24"/>
        </w:rPr>
        <w:t>CORRECTION</w:t>
      </w:r>
      <w:r>
        <w:rPr>
          <w:rFonts w:ascii="Times New Roman" w:hAnsi="Times New Roman"/>
          <w:sz w:val="24"/>
        </w:rPr>
        <w:t xml:space="preserve"> refers to TP</w:t>
      </w:r>
      <w:r w:rsidR="007C4486">
        <w:rPr>
          <w:rFonts w:ascii="Times New Roman" w:hAnsi="Times New Roman"/>
          <w:sz w:val="24"/>
        </w:rPr>
        <w:t>CF.</w:t>
      </w:r>
    </w:p>
    <w:p w:rsidR="00D235BB" w:rsidRPr="00F20F4B" w:rsidRDefault="00D235BB" w:rsidP="00D235BB">
      <w:pPr>
        <w:pStyle w:val="ListParagraph"/>
        <w:numPr>
          <w:ilvl w:val="0"/>
          <w:numId w:val="4"/>
        </w:numPr>
        <w:rPr>
          <w:rFonts w:ascii="Times New Roman" w:eastAsiaTheme="minorHAnsi" w:hAnsi="Times New Roman"/>
          <w:sz w:val="24"/>
        </w:rPr>
      </w:pPr>
      <w:r w:rsidRPr="007C4486">
        <w:rPr>
          <w:rFonts w:ascii="Times New Roman" w:hAnsi="Times New Roman"/>
          <w:i/>
          <w:sz w:val="24"/>
        </w:rPr>
        <w:t>N</w:t>
      </w:r>
      <w:r w:rsidRPr="007C4486">
        <w:rPr>
          <w:rFonts w:ascii="Times New Roman" w:hAnsi="Times New Roman"/>
          <w:i/>
          <w:sz w:val="24"/>
          <w:vertAlign w:val="subscript"/>
        </w:rPr>
        <w:t>D</w:t>
      </w:r>
      <w:proofErr w:type="gramStart"/>
      <w:r w:rsidRPr="007C4486">
        <w:rPr>
          <w:rFonts w:ascii="Times New Roman" w:hAnsi="Times New Roman"/>
          <w:i/>
          <w:sz w:val="24"/>
          <w:vertAlign w:val="subscript"/>
        </w:rPr>
        <w:t>,W</w:t>
      </w:r>
      <w:proofErr w:type="gramEnd"/>
      <w:r w:rsidRPr="007C4486">
        <w:rPr>
          <w:rFonts w:ascii="Times New Roman" w:hAnsi="Times New Roman"/>
          <w:i/>
          <w:sz w:val="24"/>
        </w:rPr>
        <w:t xml:space="preserve"> from K&amp;S</w:t>
      </w:r>
      <w:r>
        <w:rPr>
          <w:rFonts w:ascii="Times New Roman" w:hAnsi="Times New Roman"/>
          <w:sz w:val="24"/>
        </w:rPr>
        <w:t xml:space="preserve"> refers to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D,W</m:t>
            </m:r>
          </m:sub>
          <m:sup>
            <m:sPre>
              <m:sPrePr>
                <m:ctrlPr>
                  <w:rPr>
                    <w:rFonts w:ascii="Cambria Math" w:eastAsiaTheme="minorHAnsi" w:hAnsi="Cambria Math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60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Co</m:t>
                </m:r>
              </m:e>
            </m:sPre>
          </m:sup>
        </m:sSubSup>
      </m:oMath>
      <w:r>
        <w:rPr>
          <w:rFonts w:ascii="Times New Roman" w:eastAsiaTheme="minorEastAsia" w:hAnsi="Times New Roman"/>
          <w:sz w:val="24"/>
        </w:rPr>
        <w:t>.</w:t>
      </w:r>
    </w:p>
    <w:p w:rsidR="00D235BB" w:rsidRPr="00376B00" w:rsidRDefault="00D235BB" w:rsidP="00D235B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Dose at </w:t>
      </w:r>
      <w:proofErr w:type="spellStart"/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/>
          <w:sz w:val="24"/>
        </w:rPr>
        <w:t xml:space="preserve"> in H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O refers </w:t>
      </w:r>
      <w:proofErr w:type="gramStart"/>
      <w:r>
        <w:rPr>
          <w:rFonts w:ascii="Times New Roman" w:hAnsi="Times New Roman"/>
          <w:sz w:val="24"/>
        </w:rPr>
        <w:t xml:space="preserve">to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W</m:t>
            </m:r>
          </m:sub>
          <m:sup>
            <m:r>
              <w:rPr>
                <w:rFonts w:ascii="Cambria Math" w:hAnsi="Cambria Math"/>
                <w:sz w:val="24"/>
              </w:rPr>
              <m:t>Q</m:t>
            </m:r>
          </m:sup>
        </m:sSubSup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raw</m:t>
            </m:r>
          </m:sub>
        </m:sSub>
        <m:r>
          <w:rPr>
            <w:rFonts w:ascii="Cambria Math" w:hAnsi="Cambria Math"/>
            <w:sz w:val="24"/>
          </w:rPr>
          <m:t>×</m:t>
        </m:r>
        <m:r>
          <w:rPr>
            <w:rFonts w:ascii="Cambria Math" w:eastAsiaTheme="minorHAnsi" w:hAnsi="Cambria Math"/>
            <w:sz w:val="24"/>
          </w:rPr>
          <m:t>TPCF</m:t>
        </m:r>
        <m:r>
          <w:rPr>
            <w:rFonts w:ascii="Cambria Math" w:hAnsi="Cambria Math"/>
            <w:sz w:val="24"/>
          </w:rPr>
          <m:t>×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Q</m:t>
            </m:r>
          </m:sub>
        </m:sSub>
        <m:r>
          <w:rPr>
            <w:rFonts w:ascii="Cambria Math" w:hAnsi="Cambria Math"/>
            <w:sz w:val="24"/>
          </w:rPr>
          <m:t>×</m:t>
        </m:r>
        <m:sSubSup>
          <m:sSubSupPr>
            <m:ctrlPr>
              <w:rPr>
                <w:rFonts w:ascii="Cambria Math" w:eastAsiaTheme="minorHAnsi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D,W</m:t>
            </m:r>
          </m:sub>
          <m:sup>
            <m:sPre>
              <m:sPrePr>
                <m:ctrlPr>
                  <w:rPr>
                    <w:rFonts w:ascii="Cambria Math" w:eastAsiaTheme="minorHAnsi" w:hAnsi="Cambria Math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60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Co</m:t>
                </m:r>
              </m:e>
            </m:sPre>
          </m:sup>
        </m:sSubSup>
        <m:r>
          <w:rPr>
            <w:rFonts w:ascii="Cambria Math" w:hAnsi="Cambria Math"/>
            <w:sz w:val="24"/>
          </w:rPr>
          <m:t>×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pol</m:t>
            </m:r>
          </m:sub>
        </m:sSub>
        <m:r>
          <w:rPr>
            <w:rFonts w:ascii="Cambria Math" w:hAnsi="Cambria Math"/>
            <w:sz w:val="24"/>
          </w:rPr>
          <m:t>×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ion</m:t>
            </m:r>
          </m:sub>
        </m:sSub>
        <m:r>
          <w:rPr>
            <w:rFonts w:ascii="Cambria Math" w:hAnsi="Cambria Math"/>
            <w:sz w:val="24"/>
          </w:rPr>
          <m:t>×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elec</m:t>
            </m:r>
          </m:sub>
        </m:sSub>
      </m:oMath>
      <w:r>
        <w:rPr>
          <w:rFonts w:ascii="Times New Roman" w:eastAsiaTheme="minorEastAsia" w:hAnsi="Times New Roman"/>
          <w:sz w:val="24"/>
        </w:rPr>
        <w:t>.</w:t>
      </w:r>
    </w:p>
    <w:p w:rsidR="00D235BB" w:rsidRDefault="00D235BB">
      <w:bookmarkStart w:id="0" w:name="_GoBack"/>
      <w:bookmarkEnd w:id="0"/>
    </w:p>
    <w:sectPr w:rsidR="00D2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4F8A"/>
    <w:multiLevelType w:val="hybridMultilevel"/>
    <w:tmpl w:val="536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07907"/>
    <w:multiLevelType w:val="hybridMultilevel"/>
    <w:tmpl w:val="536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1011"/>
    <w:multiLevelType w:val="hybridMultilevel"/>
    <w:tmpl w:val="536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942E0"/>
    <w:multiLevelType w:val="hybridMultilevel"/>
    <w:tmpl w:val="9730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81FF0"/>
    <w:multiLevelType w:val="hybridMultilevel"/>
    <w:tmpl w:val="536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46"/>
    <w:rsid w:val="00001D46"/>
    <w:rsid w:val="00010D04"/>
    <w:rsid w:val="00016DFE"/>
    <w:rsid w:val="00236E87"/>
    <w:rsid w:val="007C4486"/>
    <w:rsid w:val="007E0B78"/>
    <w:rsid w:val="0080299E"/>
    <w:rsid w:val="009146F8"/>
    <w:rsid w:val="00B04492"/>
    <w:rsid w:val="00CB21C9"/>
    <w:rsid w:val="00D235BB"/>
    <w:rsid w:val="00D2700E"/>
    <w:rsid w:val="00E97606"/>
    <w:rsid w:val="00E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C1F4"/>
  <w15:chartTrackingRefBased/>
  <w15:docId w15:val="{29453CCA-9A5B-4836-8483-9CC4B81C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46"/>
    <w:pPr>
      <w:ind w:left="720"/>
      <w:contextualSpacing/>
    </w:pPr>
  </w:style>
  <w:style w:type="character" w:styleId="Hyperlink">
    <w:name w:val="Hyperlink"/>
    <w:uiPriority w:val="99"/>
    <w:unhideWhenUsed/>
    <w:rsid w:val="00001D46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6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6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D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6</cp:revision>
  <dcterms:created xsi:type="dcterms:W3CDTF">2020-06-24T18:10:00Z</dcterms:created>
  <dcterms:modified xsi:type="dcterms:W3CDTF">2022-03-15T18:39:00Z</dcterms:modified>
</cp:coreProperties>
</file>