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cantSplit/>
        </w:trPr>
        <w:tc>
          <w:tcPr>
            <w:shd w:fill="7C3AED" w:color="auto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0"/>
                <w:szCs w:val="20"/>
              </w:rPr>
              <w:t xml:space="preserve">PLAN D'ANIMATION — WEBINAIRE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L'IA au service de la différenciation</w:t>
            </w:r>
          </w:p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SINPA Occitanie · Jeudi 7 mai 2026 · 12h30 — 13h00 · Webinaire 30 minutes</w:t>
            </w:r>
          </w:p>
        </w:tc>
      </w:tr>
    </w:tbl>
    <w:p>
      <w:pPr>
        <w:spacing w:after="200"/>
      </w:pPr>
    </w:p>
    <w:p>
      <w:pPr>
        <w:spacing w:after="120" w:lin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Matériel 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ordinateur connecté à la plateforme webinaire avec micro et caméra · application </w:t>
      </w:r>
      <w:r>
        <w:rPr>
          <w:rFonts w:ascii="Calibri" w:cs="Calibri" w:eastAsia="Calibri" w:hAnsi="Calibri"/>
          <w:i/>
          <w:iCs/>
          <w:color w:val="5B21B6"/>
          <w:sz w:val="22"/>
          <w:szCs w:val="22"/>
        </w:rPr>
        <w:t xml:space="preserve">triangle.maprofbranchee.fr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ouverte · slides </w:t>
      </w:r>
      <w:r>
        <w:rPr>
          <w:rFonts w:ascii="Calibri" w:cs="Calibri" w:eastAsia="Calibri" w:hAnsi="Calibri"/>
          <w:i/>
          <w:iCs/>
          <w:color w:val="5B21B6"/>
          <w:sz w:val="22"/>
          <w:szCs w:val="22"/>
        </w:rPr>
        <w:t xml:space="preserve">sinpa-webinaire-differenciation.html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 ouvertes · captures Plan B (cas Plickers) prêtes · antisèche A5.</w:t>
      </w:r>
    </w:p>
    <w:p>
      <w:pPr>
        <w:spacing w:after="200" w:line="2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Préparation J-1 obligatoire 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ouvrir le .txt du chat BBB sauvegardé mercredi soir dans SINPA_collecte/. Trier les questions selon trois critères : (1) ancrage — la question pointe vers une slide existante (slides 7-8 cas Plickers, slide 10 P2IA, slide 11 alertes recherche) ; (2) niveau — pédagogique-pratique plutôt que techno-sceptique pur ; (3) reformulabilité — formulable en une phrase à l’oral. Cible : 2 questions à citer + 1 en réserve mentale. Les noter sur l’antisèche A5. Filet de sécurité si chat silencieux ou pauvre : mobiliser les questions de réserve thématiques (différenciation concrète / alertes recherche / conformité P2IA) attribuées pudiquement à « quelqu’un me demandait hier… ».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500"/>
      </w:tblGrid>
      <w:tr>
        <w:trPr>
          <w:cantSplit/>
          <w:tblHeader/>
        </w:trPr>
        <w:tc>
          <w:tcPr>
            <w:shd w:fill="7C3AE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Étape</w:t>
            </w:r>
          </w:p>
        </w:tc>
        <w:tc>
          <w:tcPr>
            <w:shd w:fill="7C3AE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Diapo / Matériel</w:t>
            </w:r>
          </w:p>
        </w:tc>
        <w:tc>
          <w:tcPr>
            <w:shd w:fill="7C3AED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Contenu détaillé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1) ACCUEIL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(1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1 — Titre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Salutation rapide. Ne pas s'attarder : on a 30 minutes denses et il faut tenir le rythme.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Annoncer le format : webinaire, 30 minutes, peu d'interaction directe, questions par chat à la fin.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2) ARTICULATION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(1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1bis — Deux publics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Saluer ceux qui reviennent de l’atelier d’hier en rappelant la promesse formulée : « Hier, je vous ai demandé une question — une seule, celle qui vous grattait le plus. » Accueillir les nouveaux venus sans prérequis.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Annoncer explicitement : « Vous me les avez déposées dans le chat BBB, je les ai relues hier soir, et plusieurs revenaient sur [citer 2 thèmes des questions remontées ou de réserve] — elles ouvrent cette séance, traitées au fil sans chapitre séparé. »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Présenter l'arc : passer de la découverte à l'approfondissement.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3) CITATION + PROBLÈME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(2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Slides 2 et 3 — Houssaye + Différencier sans s'épuiser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Lecture de la citation Houssaye : « On ne peut tenir les trois bords du triangle à la fois. »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Poser le problème : différencier est une injonction permanente, et c'est épuisant. Le temps, la fatigue, les 30 élèves. La promesse de l'IA n'est pas d'enseigner à votre place — c'est de redonner du temps là où le geste enseignant est irremplaçable.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4) LE TRIANGLE + L'AUGMENTATION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(3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Slides 4 et 5 — Triangle Houssaye + IA catalyseur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Rappel du triangle de Houssaye (1988) — trois pôles, trois processus.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Argument central : l'IA n'est pas un quatrième sommet. Elle ne ressent rien, ne comprend rien, ne vise rien. Elle est un catalyseur transversal qui module les flux entre les trois pôles.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Trois cartes : sur l'axe Enseigner (préparation), Apprendre (feedback), Former (libération de temps).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5) LE CURSEUR ÉTHIQUE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(3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6 — Curseur éthique + bouton « Ouvrir le curseur »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Bascule sur l'app pour montrer en direct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Cliquer sur le bouton de la slide pour ouvrir l'app sur l'onglet Éthique.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Présenter les 4 zones : IA Minimale (0-25 %), IA Partenaire (25-60 % — équilibre recommandé), IA Dominante (60-85 %), IA Totale (85-100 %).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Insister sur la zone Partenaire comme zone de référence du Cadre juin 2025.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Citer la phrase du Cadre affichée par l'app à cette position.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6) DIFFÉRENCIER AVEC L'IA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(3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7 — Trois gestes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Décomposer la différenciation en trois gestes : diagnostiquer, adapter, réguler.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Pour chacun, montrer comment l'IA rend ces gestes soutenables sans les remplacer.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Exemple rapide : analyse d'erreurs récurrentes (diagnostiquer), génération de variantes d'exercice (adapter), ajustement du parcours selon les progrès (réguler).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7) CAS PLICKERS CE2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(5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8 — Cas concret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Cœur du webinaire — bien chronométrer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Présenter le cas réel : classe de CE2, séquence Préhistoire, 5 questions générées avec l'IA puis validées et passées avec Plickers.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Détail du processus en quatre temps : 1) prompt CRAFT pour générer 5 QCM, 2) validation didactique par l'enseignante, 3) passation Plickers (zéro écran élève), 4) remédiation différenciée auprès des élèves en difficulté.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Insister sur le déplacement-clé : le temps gagné sur la conception est réinjecté dans la remédiation.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L'IA n'a pas remplacé l'étayage. Elle a créé les conditions pour qu'il puisse avoir lieu.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8) REDÉPLOYER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(2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9 — Phrase-clé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Slide minimaliste, parler avec elle : redéployer le temps gagné sur l'axe Enseigner, le réinvestir sur l'axe Former.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La promesse raisonnable de l'IA : gagner sur la gestion pour magnifier la médiation humaine.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9) IA INVISIBLE / IA PARTENAIRE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(3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10 — Distinction par cycle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Présenter la distinction du Cadre juin 2025 : IA invisible (primaire, via P2IA — l'élève n'interagit jamais avec une IA générative ouverte) versus IA partenaire (à partir de la 4ᵉ — interaction encadrée, esprit critique).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Lister rapidement les P2IA cycle 2 (Lalilo, Adaptiv'Math, Mathia, Smart Enseigno, Navi) et cycle 3 (Mathia-C3, Expliq, Edumalin, Origamia, Cards, yLANG).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Cette distinction n'est pas une contrainte, c'est une protection pédagogique.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10) VIGILANCE — RECHERCHE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(3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11 — Alertes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Lister les alertes de la recherche récente :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Stadler et al. (2024) : l'aisance cognitive réduit la rétention à long terme.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Bjork : les difficultés désirables sont un moteur d'apprentissage.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Gerlich (2025) : corrélation négative entre usage fréquent d'IA et capacités de pensée critique (cognitive offloading).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Amadieu et Tricot : mythes et réalités du numérique.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Ces alertes ne disqualifient pas l'IA — elles cadrent la posture pédagogique.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11) MANIPULER L'APPLI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(2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12 — Démo finale + bouton « Ouvrir »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Bascule sur l'app pour démo libre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Cliquer sur le bouton « Ouvrir l'application ». Faire une démo brève de Mon Diagnostic à partir d'un cas concret qu'un participant aurait évoqué dans le chat.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Mentionner les 5 onglets, le mode dual (questionnaire 6 questions / sliders), l'export PDF.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Préciser que l'app est sur LaForgeEdu, libre d'accès, licences ouvertes.</w:t>
            </w:r>
          </w:p>
        </w:tc>
      </w:tr>
      <w:tr>
        <w:trPr>
          <w:cantSplit w:val="false"/>
        </w:trPr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12) CONCLUSION + RESSOURCES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2"/>
                <w:szCs w:val="22"/>
              </w:rPr>
              <w:t xml:space="preserve">(2 min)</w:t>
            </w:r>
          </w:p>
        </w:tc>
        <w:tc>
          <w:tcPr>
            <w:shd w:fill="F1F5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Slide 13 — Merci + ressources cliquables</w:t>
            </w:r>
          </w:p>
        </w:tc>
        <w:tc>
          <w:tcPr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Refermer le diptyque : « Hier nous découvrions, aujourd'hui nous avons creusé, demain c'est à vous. »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Inviter à cliquer sur les ressources dans le chat ou dans la slide.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Ouvrir explicitement aux retours d'usage : formulaire dans l'app, mail, blog.</w:t>
            </w:r>
          </w:p>
          <w:p>
            <w:pPr>
              <w:spacing w:after="60" w:line="28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Saluer et clore.</w:t>
            </w:r>
          </w:p>
        </w:tc>
      </w:tr>
    </w:tbl>
    <w:p>
      <w:pPr>
        <w:spacing w:after="200"/>
      </w:pP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Total chronométré 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30 minutes pile. Le webinaire ne supporte aucun débordement (heure de fin fixée à 13h00). Si retard à mi-parcours, raccourcir le cas Plickers (5 → 4 min) ou la démo finale (2 → 1 min).</w:t>
      </w:r>
    </w:p>
    <w:p>
      <w:pPr>
        <w:spacing w:after="200" w:lin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Plan B technique 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si l'application ne charge pas, basculer sur les captures d'écran et continuer à commenter. Si Internet tombe complètement, finir oralement à partir de l'antisèche A5.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Vanessa Le Scolan Nguyen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 · ERUN circonscription Nîmes 5 · Académie de Montpellier · </w:t>
      </w:r>
      <w:r>
        <w:rPr>
          <w:rFonts w:ascii="Calibri" w:cs="Calibri" w:eastAsia="Calibri" w:hAnsi="Calibri"/>
          <w:b/>
          <w:bCs/>
          <w:color w:val="5B21B6"/>
          <w:sz w:val="18"/>
          <w:szCs w:val="18"/>
        </w:rPr>
        <w:t xml:space="preserve">MaProfBranchee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d'animation — Webinaire SINPA</dc:title>
  <dc:creator>Vanessa Le Scolan Nguyen — MaProfBranchee</dc:creator>
  <cp:lastModifiedBy>Un-named</cp:lastModifiedBy>
  <cp:revision>1</cp:revision>
  <dcterms:created xsi:type="dcterms:W3CDTF">2026-04-28T11:36:46.460Z</dcterms:created>
  <dcterms:modified xsi:type="dcterms:W3CDTF">2026-04-28T11:36:46.461Z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