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5B21B6"/>
          <w:sz w:val="36"/>
          <w:szCs w:val="36"/>
        </w:rPr>
        <w:t xml:space="preserve">Script oral — Webinaire SINPA</w:t>
      </w:r>
    </w:p>
    <w:p>
      <w:pPr>
        <w:spacing w:after="80"/>
        <w:jc w:val="center"/>
      </w:pPr>
      <w:r>
        <w:rPr>
          <w:rFonts w:ascii="Calibri" w:cs="Calibri" w:eastAsia="Calibri" w:hAnsi="Calibri"/>
          <w:i/>
          <w:iCs/>
          <w:color w:val="0F172A"/>
          <w:sz w:val="24"/>
          <w:szCs w:val="24"/>
        </w:rPr>
        <w:t xml:space="preserve">L'IA au service de la différenciation</w:t>
      </w:r>
    </w:p>
    <w:p>
      <w:pPr>
        <w:spacing w:after="240"/>
        <w:jc w:val="center"/>
      </w:pPr>
      <w:r>
        <w:rPr>
          <w:rFonts w:ascii="Calibri" w:cs="Calibri" w:eastAsia="Calibri" w:hAnsi="Calibri"/>
          <w:color w:val="475569"/>
          <w:sz w:val="20"/>
          <w:szCs w:val="20"/>
        </w:rPr>
        <w:t xml:space="preserve">Jeudi 7 mai 2026 · 12h30 — 13h00 · 30 minutes</w:t>
      </w:r>
    </w:p>
    <w:p>
      <w:pPr>
        <w:spacing w:after="320" w:line="320"/>
      </w:pPr>
      <w:r>
        <w:rPr>
          <w:rFonts w:ascii="Calibri" w:cs="Calibri" w:eastAsia="Calibri" w:hAnsi="Calibri"/>
          <w:b/>
          <w:bCs/>
          <w:color w:val="B45309"/>
          <w:sz w:val="22"/>
          <w:szCs w:val="22"/>
        </w:rPr>
        <w:t xml:space="preserve">Note pour NotebookLM : </w:t>
      </w:r>
      <w:r>
        <w:rPr>
          <w:rFonts w:ascii="Calibri" w:cs="Calibri" w:eastAsia="Calibri" w:hAnsi="Calibri"/>
          <w:i/>
          <w:iCs/>
          <w:color w:val="475569"/>
          <w:sz w:val="22"/>
          <w:szCs w:val="22"/>
        </w:rPr>
        <w:t xml:space="preserve">ce document est un script de présentation à voix haute. Le ton est chaleureux et didactique, à la première personne. Les marqueurs en violet (« Slide 1 — Titre ») servent uniquement de repères de lecture pour la présentatrice et peuvent être lus comme des transitions naturelles.</w:t>
      </w:r>
    </w:p>
    <w:p>
      <w:pPr>
        <w:spacing w:after="200" w:before="320"/>
      </w:pPr>
      <w:r>
        <w:rPr>
          <w:rFonts w:ascii="Calibri" w:cs="Calibri" w:eastAsia="Calibri" w:hAnsi="Calibri"/>
          <w:b/>
          <w:bCs/>
          <w:color w:val="5B21B6"/>
          <w:sz w:val="26"/>
          <w:szCs w:val="26"/>
        </w:rPr>
        <w:t xml:space="preserve">Slide 1 — Titre</w:t>
      </w:r>
    </w:p>
    <w:p>
      <w:pPr>
        <w:spacing w:after="160" w:line="320"/>
      </w:pPr>
      <w:r>
        <w:rPr>
          <w:rFonts w:ascii="Calibri" w:cs="Calibri" w:eastAsia="Calibri" w:hAnsi="Calibri"/>
          <w:color w:val="0F172A"/>
          <w:sz w:val="24"/>
          <w:szCs w:val="24"/>
        </w:rPr>
        <w:t xml:space="preserve">Bonjour à toutes et à tous. Bienvenue à ce webinaire de SINPA Occitanie. Je suis Vanessa Le Scolan Nguyen, je suis enseignante en CE2 et ERUN dans la circonscription de Nîmes 5, à l'Académie de Montpellier. On a trente minutes ensemble, et je vous propose qu'on les utilise sans déborder — il est 12h30, vous avez tous des classes ou des bureaux à rejoindre.</w:t>
      </w:r>
    </w:p>
    <w:p>
      <w:pPr>
        <w:spacing w:after="200" w:before="320"/>
      </w:pPr>
      <w:r>
        <w:rPr>
          <w:rFonts w:ascii="Calibri" w:cs="Calibri" w:eastAsia="Calibri" w:hAnsi="Calibri"/>
          <w:b/>
          <w:bCs/>
          <w:color w:val="5B21B6"/>
          <w:sz w:val="26"/>
          <w:szCs w:val="26"/>
        </w:rPr>
        <w:t xml:space="preserve">Slide 1 bis — Bienvenue, articulation</w:t>
      </w:r>
    </w:p>
    <w:p>
      <w:pPr>
        <w:spacing w:after="160" w:line="320"/>
      </w:pPr>
      <w:r>
        <w:rPr>
          <w:rFonts w:ascii="Calibri" w:cs="Calibri" w:eastAsia="Calibri" w:hAnsi="Calibri"/>
          <w:color w:val="0F172A"/>
          <w:sz w:val="24"/>
          <w:szCs w:val="24"/>
        </w:rPr>
        <w:t xml:space="preserve">Avant de commencer, je voudrais saluer deux publics. Si vous étiez à l’atelier d’hier, bonjour à nouveau. Hier, je vous ai demandé une question — une seule, celle qui vous grattait le plus. Vous me les avez déposées dans le chat BBB, je les ai relues hier soir, et plusieurs revenaient sur la différenciation concrète, sur les alertes de la recherche, sur la conformité des P2IA. Elles ouvrent cette séance, traitées au fil sans qu’on les annonce comme des chapitres séparés.</w:t>
      </w:r>
    </w:p>
    <w:p>
      <w:pPr>
        <w:spacing w:after="160" w:line="320"/>
      </w:pPr>
      <w:r>
        <w:rPr>
          <w:rFonts w:ascii="Calibri" w:cs="Calibri" w:eastAsia="Calibri" w:hAnsi="Calibri"/>
          <w:color w:val="0F172A"/>
          <w:sz w:val="24"/>
          <w:szCs w:val="24"/>
        </w:rPr>
        <w:t xml:space="preserve">Si vous arrivez aujourd'hui sans avoir suivi l'atelier, soyez les bienvenus aussi. Aucun prérequis n'est nécessaire. Je vais reprendre rapidement les fondamentaux — le triangle de Houssaye, le curseur éthique, la distinction par cycle — pour que tout le monde soit aligné. L'enjeu de cette demi-heure, c'est de passer de la découverte de l'outil à l'approfondissement d'un cas concret en CE2.</w:t>
      </w:r>
    </w:p>
    <w:p>
      <w:pPr>
        <w:spacing w:after="200" w:before="320"/>
      </w:pPr>
      <w:r>
        <w:rPr>
          <w:rFonts w:ascii="Calibri" w:cs="Calibri" w:eastAsia="Calibri" w:hAnsi="Calibri"/>
          <w:b/>
          <w:bCs/>
          <w:color w:val="5B21B6"/>
          <w:sz w:val="26"/>
          <w:szCs w:val="26"/>
        </w:rPr>
        <w:t xml:space="preserve">Slide 2 — Citation Houssaye</w:t>
      </w:r>
    </w:p>
    <w:p>
      <w:pPr>
        <w:spacing w:after="160" w:line="320"/>
      </w:pPr>
      <w:r>
        <w:rPr>
          <w:rFonts w:ascii="Calibri" w:cs="Calibri" w:eastAsia="Calibri" w:hAnsi="Calibri"/>
          <w:color w:val="0F172A"/>
          <w:sz w:val="24"/>
          <w:szCs w:val="24"/>
        </w:rPr>
        <w:t xml:space="preserve">Je commence par cette phrase. Elle date de 1988, elle est de Jean Houssaye, et elle reste juste : « On ne peut tenir les trois bords du triangle à la fois. » Gardez cette phrase en tête. C'est elle qui justifie tout ce qu'on va dire ensuite.</w:t>
      </w:r>
    </w:p>
    <w:p>
      <w:pPr>
        <w:spacing w:after="200" w:before="320"/>
      </w:pPr>
      <w:r>
        <w:rPr>
          <w:rFonts w:ascii="Calibri" w:cs="Calibri" w:eastAsia="Calibri" w:hAnsi="Calibri"/>
          <w:b/>
          <w:bCs/>
          <w:color w:val="5B21B6"/>
          <w:sz w:val="26"/>
          <w:szCs w:val="26"/>
        </w:rPr>
        <w:t xml:space="preserve">Slide 3 — Différencier sans s'épuiser</w:t>
      </w:r>
    </w:p>
    <w:p>
      <w:pPr>
        <w:spacing w:after="160" w:line="320"/>
      </w:pPr>
      <w:r>
        <w:rPr>
          <w:rFonts w:ascii="Calibri" w:cs="Calibri" w:eastAsia="Calibri" w:hAnsi="Calibri"/>
          <w:color w:val="0F172A"/>
          <w:sz w:val="24"/>
          <w:szCs w:val="24"/>
        </w:rPr>
        <w:t xml:space="preserve">Chaque enseignant connaît l'injonction : adaptez, différenciez, individualisez. Et chaque enseignant connaît aussi la réalité — le temps, la fatigue, le nombre d'élèves, la charge mentale. Le problème, donc, n'est pas de vouloir différencier. C'est de trouver comment tenir, sur la durée d'une carrière entière.</w:t>
      </w:r>
    </w:p>
    <w:p>
      <w:pPr>
        <w:spacing w:after="160" w:line="320"/>
      </w:pPr>
      <w:r>
        <w:rPr>
          <w:rFonts w:ascii="Calibri" w:cs="Calibri" w:eastAsia="Calibri" w:hAnsi="Calibri"/>
          <w:color w:val="0F172A"/>
          <w:sz w:val="24"/>
          <w:szCs w:val="24"/>
        </w:rPr>
        <w:t xml:space="preserve">La promesse de l'IA, telle que je la formule, est très simple : gagner du temps sur les tâches de préparation et de gestion, pour le réinvestir là où le geste enseignant est irremplaçable — l'étayage, la médiation humaine, la relation. C'est tout. Aucune promesse magique, aucune réinvention de la pédagogie. Juste un déplacement du temps.</w:t>
      </w:r>
    </w:p>
    <w:p>
      <w:pPr>
        <w:spacing w:after="200" w:before="320"/>
      </w:pPr>
      <w:r>
        <w:rPr>
          <w:rFonts w:ascii="Calibri" w:cs="Calibri" w:eastAsia="Calibri" w:hAnsi="Calibri"/>
          <w:b/>
          <w:bCs/>
          <w:color w:val="5B21B6"/>
          <w:sz w:val="26"/>
          <w:szCs w:val="26"/>
        </w:rPr>
        <w:t xml:space="preserve">Slide 4 — Le triangle pédagogique</w:t>
      </w:r>
    </w:p>
    <w:p>
      <w:pPr>
        <w:spacing w:after="160" w:line="320"/>
      </w:pPr>
      <w:r>
        <w:rPr>
          <w:rFonts w:ascii="Calibri" w:cs="Calibri" w:eastAsia="Calibri" w:hAnsi="Calibri"/>
          <w:color w:val="0F172A"/>
          <w:sz w:val="24"/>
          <w:szCs w:val="24"/>
        </w:rPr>
        <w:t xml:space="preserve">Trois pôles, trois relations. Un modèle qui structure la didactique francophone depuis presque quarante ans. L'enseignant et son rapport au savoir. L'élève qui construit ses apprentissages. Et la relation enseignant-élève, qu'on appelle « former » et qui est la dimension humaine de la classe. À tout moment, l'un des pôles est en retrait. L'enjeu n'est pas de tout tenir en permanence. C'est de savoir où placer le curseur.</w:t>
      </w:r>
    </w:p>
    <w:p>
      <w:pPr>
        <w:spacing w:after="200" w:before="320"/>
      </w:pPr>
      <w:r>
        <w:rPr>
          <w:rFonts w:ascii="Calibri" w:cs="Calibri" w:eastAsia="Calibri" w:hAnsi="Calibri"/>
          <w:b/>
          <w:bCs/>
          <w:color w:val="5B21B6"/>
          <w:sz w:val="26"/>
          <w:szCs w:val="26"/>
        </w:rPr>
        <w:t xml:space="preserve">Slide 5 — L'IA ne remplace aucun pôle</w:t>
      </w:r>
    </w:p>
    <w:p>
      <w:pPr>
        <w:spacing w:after="160" w:line="320"/>
      </w:pPr>
      <w:r>
        <w:rPr>
          <w:rFonts w:ascii="Calibri" w:cs="Calibri" w:eastAsia="Calibri" w:hAnsi="Calibri"/>
          <w:color w:val="0F172A"/>
          <w:sz w:val="24"/>
          <w:szCs w:val="24"/>
        </w:rPr>
        <w:t xml:space="preserve">Voilà l'argument central, celui que je tiens depuis le début de ce travail. L'IA n'est pas un quatrième sommet du triangle. Elle n'est pas un acteur pédagogique au même titre que vous ou que vos élèves. Elle ne ressent rien, elle ne comprend rien, elle ne vise rien. Mais elle agit comme un catalyseur au centre du triangle. Elle accélère les flux entre les pôles, elle en modifie l'intensité, elle redistribue les charges — mais elle ne modifie pas la nature des pôles eux-mêmes. C'est cohérent avec le tétraèdre de Faerber, qui ajoute le pôle Groupe en 2002 sans rompre la logique houssayenne.</w:t>
      </w:r>
    </w:p>
    <w:p>
      <w:pPr>
        <w:spacing w:after="160" w:line="320"/>
      </w:pPr>
      <w:r>
        <w:rPr>
          <w:rFonts w:ascii="Calibri" w:cs="Calibri" w:eastAsia="Calibri" w:hAnsi="Calibri"/>
          <w:color w:val="0F172A"/>
          <w:sz w:val="24"/>
          <w:szCs w:val="24"/>
        </w:rPr>
        <w:t xml:space="preserve">Concrètement, ça donne trois usages. Sur l'axe Enseigner, l'IA assiste la préparation, la scénarisation, la génération de ressources. Sur l'axe Apprendre, elle propose feedback immédiat, adaptation au rythme, tutorat ciblé — quand le cadre légal le permet. Sur l'axe Former, et c'est paradoxal, elle libère du temps que l'enseignant réinvestit dans la médiation humaine. Trois axes, trois rôles, jamais une substitution.</w:t>
      </w:r>
    </w:p>
    <w:p>
      <w:pPr>
        <w:spacing w:after="200" w:before="320"/>
      </w:pPr>
      <w:r>
        <w:rPr>
          <w:rFonts w:ascii="Calibri" w:cs="Calibri" w:eastAsia="Calibri" w:hAnsi="Calibri"/>
          <w:b/>
          <w:bCs/>
          <w:color w:val="5B21B6"/>
          <w:sz w:val="26"/>
          <w:szCs w:val="26"/>
        </w:rPr>
        <w:t xml:space="preserve">Slide 6 — Le curseur éthique</w:t>
      </w:r>
    </w:p>
    <w:p>
      <w:pPr>
        <w:spacing w:after="160" w:line="320"/>
      </w:pPr>
      <w:r>
        <w:rPr>
          <w:rFonts w:ascii="Calibri" w:cs="Calibri" w:eastAsia="Calibri" w:hAnsi="Calibri"/>
          <w:color w:val="0F172A"/>
          <w:sz w:val="24"/>
          <w:szCs w:val="24"/>
        </w:rPr>
        <w:t xml:space="preserve">Je vais ouvrir l'application un instant pour vous montrer concrètement le curseur éthique — vous le voyez à l'écran. Toute utilisation de l'IA se situe quelque part sur un curseur de zéro à cent pour cent. Et la posture choisie n'est pas technique, elle est éthique. Elle détermine qui garde la main sur la décision pédagogique.</w:t>
      </w:r>
    </w:p>
    <w:p>
      <w:pPr>
        <w:spacing w:after="160" w:line="320"/>
      </w:pPr>
      <w:r>
        <w:rPr>
          <w:rFonts w:ascii="Calibri" w:cs="Calibri" w:eastAsia="Calibri" w:hAnsi="Calibri"/>
          <w:color w:val="0F172A"/>
          <w:sz w:val="24"/>
          <w:szCs w:val="24"/>
        </w:rPr>
        <w:t xml:space="preserve">Quatre zones. IA Minimale entre zéro et vingt-cinq pour cent — l'IA est un outil ponctuel, à la marge. IA Partenaire entre vingt-cinq et soixante pour cent — c'est l'équilibre que recommande explicitement le Cadre d'usage de l'IA en éducation, publié par le ministère en juin 2025. L'IA amplifie l'expertise humaine sans la substituer. IA Dominante entre soixante et quatre-vingt-cinq pour cent — l'IA pilote la majorité des décisions, l'enseignant valide. Et IA Totale au-delà — l'enseignant délègue presque entièrement, ce qui est rarement souhaitable et parfois interdit, on va y revenir.</w:t>
      </w:r>
    </w:p>
    <w:p>
      <w:pPr>
        <w:spacing w:after="200" w:before="320"/>
      </w:pPr>
      <w:r>
        <w:rPr>
          <w:rFonts w:ascii="Calibri" w:cs="Calibri" w:eastAsia="Calibri" w:hAnsi="Calibri"/>
          <w:b/>
          <w:bCs/>
          <w:color w:val="5B21B6"/>
          <w:sz w:val="26"/>
          <w:szCs w:val="26"/>
        </w:rPr>
        <w:t xml:space="preserve">Slide 7 — Différencier avec l'IA</w:t>
      </w:r>
    </w:p>
    <w:p>
      <w:pPr>
        <w:spacing w:after="160" w:line="320"/>
      </w:pPr>
      <w:r>
        <w:rPr>
          <w:rFonts w:ascii="Calibri" w:cs="Calibri" w:eastAsia="Calibri" w:hAnsi="Calibri"/>
          <w:color w:val="0F172A"/>
          <w:sz w:val="24"/>
          <w:szCs w:val="24"/>
        </w:rPr>
        <w:t xml:space="preserve">Maintenant, parlons de différenciation. Différencier, c'est faire trois gestes en même temps, et pour trente élèves, en temps réel. Premier geste : diagnostiquer les besoins. Identifier les obstacles disciplinaires, cartographier les niveaux de la classe, repérer les profils à accompagner. Deuxième geste : adapter les supports. Produire des variantes graduées, reformuler des consignes, modifier la complexité. Troisième geste : réguler les parcours. Ajuster en cours de séquence, accompagner les fragiles, nourrir les rapides.</w:t>
      </w:r>
    </w:p>
    <w:p>
      <w:pPr>
        <w:spacing w:after="160" w:line="320"/>
      </w:pPr>
      <w:r>
        <w:rPr>
          <w:rFonts w:ascii="Calibri" w:cs="Calibri" w:eastAsia="Calibri" w:hAnsi="Calibri"/>
          <w:color w:val="0F172A"/>
          <w:sz w:val="24"/>
          <w:szCs w:val="24"/>
        </w:rPr>
        <w:t xml:space="preserve">Aucun enseignant humain ne peut tenir ces trois gestes simultanément, à plein régime, pour toute une classe, toute l'année. C'est impossible. L'IA ne remplace aucun de ces gestes. Mais elle les rend soutenables. Elle ne fait pas la pédagogie à votre place. Elle vous redonne le temps et l'attention pour la faire.</w:t>
      </w:r>
    </w:p>
    <w:p>
      <w:pPr>
        <w:spacing w:after="200" w:before="320"/>
      </w:pPr>
      <w:r>
        <w:rPr>
          <w:rFonts w:ascii="Calibri" w:cs="Calibri" w:eastAsia="Calibri" w:hAnsi="Calibri"/>
          <w:b/>
          <w:bCs/>
          <w:color w:val="5B21B6"/>
          <w:sz w:val="26"/>
          <w:szCs w:val="26"/>
        </w:rPr>
        <w:t xml:space="preserve">Slide 8 — Cas terrain Plickers CE2</w:t>
      </w:r>
    </w:p>
    <w:p>
      <w:pPr>
        <w:spacing w:after="160" w:line="320"/>
      </w:pPr>
      <w:r>
        <w:rPr>
          <w:rFonts w:ascii="Calibri" w:cs="Calibri" w:eastAsia="Calibri" w:hAnsi="Calibri"/>
          <w:color w:val="0F172A"/>
          <w:sz w:val="24"/>
          <w:szCs w:val="24"/>
        </w:rPr>
        <w:t xml:space="preserve">Je voudrais maintenant vous donner un cas concret. C'est ma classe de CE2, en février dernier, dans une école rurale du Gard. Séquence Préhistoire, séance d'évaluation formative à mi-séquence.</w:t>
      </w:r>
    </w:p>
    <w:p>
      <w:pPr>
        <w:spacing w:after="160" w:line="320"/>
      </w:pPr>
      <w:r>
        <w:rPr>
          <w:rFonts w:ascii="Calibri" w:cs="Calibri" w:eastAsia="Calibri" w:hAnsi="Calibri"/>
          <w:color w:val="0F172A"/>
          <w:sz w:val="24"/>
          <w:szCs w:val="24"/>
        </w:rPr>
        <w:t xml:space="preserve">Premier temps. J'ai utilisé l'IA générative pour produire cinq questions à choix multiples de compréhension, à partir d'un prompt construit selon la méthode CRAFT — contexte, rôle, action, format, ton. L'IA a généré les cinq QCM en quelques secondes, avec des distracteurs plausibles. Sans elle, ces cinq QCM m'auraient pris une heure à concevoir, parce qu'écrire de bons distracteurs, c'est l'exercice le plus long du métier.</w:t>
      </w:r>
    </w:p>
    <w:p>
      <w:pPr>
        <w:spacing w:after="160" w:line="320"/>
      </w:pPr>
      <w:r>
        <w:rPr>
          <w:rFonts w:ascii="Calibri" w:cs="Calibri" w:eastAsia="Calibri" w:hAnsi="Calibri"/>
          <w:color w:val="0F172A"/>
          <w:sz w:val="24"/>
          <w:szCs w:val="24"/>
        </w:rPr>
        <w:t xml:space="preserve">Deuxième temps. J'ai relu, validé, ajusté. Sur les cinq questions, j'en ai gardé trois telles quelles, j'en ai reformulé une, et j'ai jeté la cinquième parce qu'elle ne correspondait pas à ma progression. C'est ça, la posture IA Partenaire. L'IA propose, j'évalue, je dispose.</w:t>
      </w:r>
    </w:p>
    <w:p>
      <w:pPr>
        <w:spacing w:after="160" w:line="320"/>
      </w:pPr>
      <w:r>
        <w:rPr>
          <w:rFonts w:ascii="Calibri" w:cs="Calibri" w:eastAsia="Calibri" w:hAnsi="Calibri"/>
          <w:color w:val="0F172A"/>
          <w:sz w:val="24"/>
          <w:szCs w:val="24"/>
        </w:rPr>
        <w:t xml:space="preserve">Troisième temps. La passation, en classe, avec Plickers — un outil libre, sans écran élève. Chaque élève brandit une carte avec un QR code orienté selon sa réponse. Je scanne la salle avec mon téléphone. Diagnostic en direct, en moins de dix minutes, sur les cinq questions. Aucune donnée d'élève dans le cloud.</w:t>
      </w:r>
    </w:p>
    <w:p>
      <w:pPr>
        <w:spacing w:after="160" w:line="320"/>
      </w:pPr>
      <w:r>
        <w:rPr>
          <w:rFonts w:ascii="Calibri" w:cs="Calibri" w:eastAsia="Calibri" w:hAnsi="Calibri"/>
          <w:color w:val="0F172A"/>
          <w:sz w:val="24"/>
          <w:szCs w:val="24"/>
        </w:rPr>
        <w:t xml:space="preserve">Quatrième temps, et c'est ce qui change tout. Le temps que j'aurais passé à concevoir les questions, je l'ai réinjecté dans la remédiation. Trois élèves avaient échoué à trois questions sur cinq. Je les ai pris en petit groupe pendant que les autres faisaient une activité d'enrichissement. J'ai pu vraiment les écouter, comprendre leurs représentations erronées, étayer.</w:t>
      </w:r>
    </w:p>
    <w:p>
      <w:pPr>
        <w:spacing w:after="160" w:line="320"/>
      </w:pPr>
      <w:r>
        <w:rPr>
          <w:rFonts w:ascii="Calibri" w:cs="Calibri" w:eastAsia="Calibri" w:hAnsi="Calibri"/>
          <w:color w:val="0F172A"/>
          <w:sz w:val="24"/>
          <w:szCs w:val="24"/>
        </w:rPr>
        <w:t xml:space="preserve">Le déplacement qui change tout, c'est celui-là. Le temps gagné sur la conception du quiz est immédiatement réinvesti dans la remédiation différenciée. L'IA n'a pas remplacé l'étayage. Elle a créé les conditions matérielles pour qu'il puisse avoir lieu.</w:t>
      </w:r>
    </w:p>
    <w:p>
      <w:pPr>
        <w:spacing w:after="200" w:before="320"/>
      </w:pPr>
      <w:r>
        <w:rPr>
          <w:rFonts w:ascii="Calibri" w:cs="Calibri" w:eastAsia="Calibri" w:hAnsi="Calibri"/>
          <w:b/>
          <w:bCs/>
          <w:color w:val="5B21B6"/>
          <w:sz w:val="26"/>
          <w:szCs w:val="26"/>
        </w:rPr>
        <w:t xml:space="preserve">Slide 9 — Redéployer</w:t>
      </w:r>
    </w:p>
    <w:p>
      <w:pPr>
        <w:spacing w:after="160" w:line="320"/>
      </w:pPr>
      <w:r>
        <w:rPr>
          <w:rFonts w:ascii="Calibri" w:cs="Calibri" w:eastAsia="Calibri" w:hAnsi="Calibri"/>
          <w:color w:val="0F172A"/>
          <w:sz w:val="24"/>
          <w:szCs w:val="24"/>
        </w:rPr>
        <w:t xml:space="preserve">C'est tout le mouvement de mon travail, qui tient en un mot : redéployer. Le temps gagné sur l'axe Enseigner, je le réinvestis sur l'axe Former. Gagner sur la gestion pour magnifier la médiation humaine. C'est la promesse raisonnable de l'IA en classe. Pas une promesse de transformation, juste un déplacement.</w:t>
      </w:r>
    </w:p>
    <w:p>
      <w:pPr>
        <w:spacing w:after="200" w:before="320"/>
      </w:pPr>
      <w:r>
        <w:rPr>
          <w:rFonts w:ascii="Calibri" w:cs="Calibri" w:eastAsia="Calibri" w:hAnsi="Calibri"/>
          <w:b/>
          <w:bCs/>
          <w:color w:val="5B21B6"/>
          <w:sz w:val="26"/>
          <w:szCs w:val="26"/>
        </w:rPr>
        <w:t xml:space="preserve">Slide 10 — IA invisible, IA partenaire</w:t>
      </w:r>
    </w:p>
    <w:p>
      <w:pPr>
        <w:spacing w:after="160" w:line="320"/>
      </w:pPr>
      <w:r>
        <w:rPr>
          <w:rFonts w:ascii="Calibri" w:cs="Calibri" w:eastAsia="Calibri" w:hAnsi="Calibri"/>
          <w:color w:val="0F172A"/>
          <w:sz w:val="24"/>
          <w:szCs w:val="24"/>
        </w:rPr>
        <w:t xml:space="preserve">Maintenant, le cadre institutionnel. Le Cadre d'usage de l'IA en éducation, publié en juin 2025, distingue deux régimes selon l'âge des élèves. Cette distinction n'est pas une contrainte. C'est une protection pédagogique.</w:t>
      </w:r>
    </w:p>
    <w:p>
      <w:pPr>
        <w:spacing w:after="160" w:line="320"/>
      </w:pPr>
      <w:r>
        <w:rPr>
          <w:rFonts w:ascii="Calibri" w:cs="Calibri" w:eastAsia="Calibri" w:hAnsi="Calibri"/>
          <w:color w:val="0F172A"/>
          <w:sz w:val="24"/>
          <w:szCs w:val="24"/>
        </w:rPr>
        <w:t xml:space="preserve">Avant la 4ᵉ — donc primaire, 6ᵉ, 5ᵉ — l'élève n'interagit jamais directement avec une IA générative ouverte. Il travaille avec des P2IA. Ce sont des partenariats d'innovation en intelligence artificielle, des assistants institutionnels cadrés. En cycle 2 vous avez cinq services : Lalilo en lecture, Adaptiv'Math, Mathia, Smart Enseigno, Navi. En cycle 3, depuis janvier 2026, vous en avez six nouveaux : Mathia-C3, Expliq, Edumalin, Origamia, Cards, et yLANG pour les langues vivantes. Ce sont des outils différenciants, mais leurs IA sont invisibles aux yeux des élèves : elles travaillent en arrière-plan.</w:t>
      </w:r>
    </w:p>
    <w:p>
      <w:pPr>
        <w:spacing w:after="160" w:line="320"/>
      </w:pPr>
      <w:r>
        <w:rPr>
          <w:rFonts w:ascii="Calibri" w:cs="Calibri" w:eastAsia="Calibri" w:hAnsi="Calibri"/>
          <w:color w:val="0F172A"/>
          <w:sz w:val="24"/>
          <w:szCs w:val="24"/>
        </w:rPr>
        <w:t xml:space="preserve">À partir de la 4ᵉ, l'élève peut interagir avec une IA générative dans un cadre encadré par l'enseignant. Pas en autonomie complète. L'IA devient un interlocuteur faillible avec lequel on apprend à dialoguer, à vérifier, à douter. C'est de l'éducation à l'esprit critique, pas une délégation cognitive.</w:t>
      </w:r>
    </w:p>
    <w:p>
      <w:pPr>
        <w:spacing w:after="200" w:before="320"/>
      </w:pPr>
      <w:r>
        <w:rPr>
          <w:rFonts w:ascii="Calibri" w:cs="Calibri" w:eastAsia="Calibri" w:hAnsi="Calibri"/>
          <w:b/>
          <w:bCs/>
          <w:color w:val="5B21B6"/>
          <w:sz w:val="26"/>
          <w:szCs w:val="26"/>
        </w:rPr>
        <w:t xml:space="preserve">Slide 11 — Vigilance, alertes de la recherche</w:t>
      </w:r>
    </w:p>
    <w:p>
      <w:pPr>
        <w:spacing w:after="160" w:line="320"/>
      </w:pPr>
      <w:r>
        <w:rPr>
          <w:rFonts w:ascii="Calibri" w:cs="Calibri" w:eastAsia="Calibri" w:hAnsi="Calibri"/>
          <w:color w:val="0F172A"/>
          <w:sz w:val="24"/>
          <w:szCs w:val="24"/>
        </w:rPr>
        <w:t xml:space="preserve">Je voudrais finir par un contrepoids. Tout ce qu'on vient de dire serait incomplet sans les alertes que la recherche internationale formule depuis quelques années.</w:t>
      </w:r>
    </w:p>
    <w:p>
      <w:pPr>
        <w:spacing w:after="160" w:line="320"/>
      </w:pPr>
      <w:r>
        <w:rPr>
          <w:rFonts w:ascii="Calibri" w:cs="Calibri" w:eastAsia="Calibri" w:hAnsi="Calibri"/>
          <w:color w:val="0F172A"/>
          <w:sz w:val="24"/>
          <w:szCs w:val="24"/>
        </w:rPr>
        <w:t xml:space="preserve">Stadler et collègues, en 2024, ont montré que l'aisance cognitive — le fait de comprendre vite, sans effort — réduit la rétention à long terme. C'est exactement ce que produit une IA bien employée. Elle simplifie. Mais simplifier, c'est aussi parfois gommer la difficulté féconde.</w:t>
      </w:r>
    </w:p>
    <w:p>
      <w:pPr>
        <w:spacing w:after="160" w:line="320"/>
      </w:pPr>
      <w:r>
        <w:rPr>
          <w:rFonts w:ascii="Calibri" w:cs="Calibri" w:eastAsia="Calibri" w:hAnsi="Calibri"/>
          <w:color w:val="0F172A"/>
          <w:sz w:val="24"/>
          <w:szCs w:val="24"/>
        </w:rPr>
        <w:t xml:space="preserve">Robert Bjork, depuis les années 1990, parle de « difficultés désirables » — ces obstacles cognitifs qui ralentissent l'apprentissage immédiat mais consolident la rétention durable. L'IA, mal utilisée, supprime ces difficultés. Et donc ce qui consolide.</w:t>
      </w:r>
    </w:p>
    <w:p>
      <w:pPr>
        <w:spacing w:after="160" w:line="320"/>
      </w:pPr>
      <w:r>
        <w:rPr>
          <w:rFonts w:ascii="Calibri" w:cs="Calibri" w:eastAsia="Calibri" w:hAnsi="Calibri"/>
          <w:color w:val="0F172A"/>
          <w:sz w:val="24"/>
          <w:szCs w:val="24"/>
        </w:rPr>
        <w:t xml:space="preserve">Plus récemment, Gerlich, en 2025, a publié une étude qui établit une corrélation négative entre l'usage fréquent d'IA générative et les capacités de pensée critique. Le mécanisme s'appelle « cognitive offloading » — le délestage cognitif. Quand on délègue à une machine, on n'entraîne plus la fonction qu'on délègue. C'est vrai pour le calcul mental avec les calculatrices. C'est vrai pour la mémorisation avec les moteurs de recherche. C'est en train de devenir vrai pour la rédaction et le raisonnement avec les IA génératives.</w:t>
      </w:r>
    </w:p>
    <w:p>
      <w:pPr>
        <w:spacing w:after="160" w:line="320"/>
      </w:pPr>
      <w:r>
        <w:rPr>
          <w:rFonts w:ascii="Calibri" w:cs="Calibri" w:eastAsia="Calibri" w:hAnsi="Calibri"/>
          <w:color w:val="0F172A"/>
          <w:sz w:val="24"/>
          <w:szCs w:val="24"/>
        </w:rPr>
        <w:t xml:space="preserve">Et Amadieu et Tricot, en 2014 et en 2020, nous ont rappelé qu'il y a beaucoup de mythes sur le numérique éducatif. L'enthousiasme technologique ne suffit pas à produire de l'apprentissage. Ce qui produit l'apprentissage, c'est l'engagement cognitif de l'élève — pas la sophistication de l'outil.</w:t>
      </w:r>
    </w:p>
    <w:p>
      <w:pPr>
        <w:spacing w:after="160" w:line="320"/>
      </w:pPr>
      <w:r>
        <w:rPr>
          <w:rFonts w:ascii="Calibri" w:cs="Calibri" w:eastAsia="Calibri" w:hAnsi="Calibri"/>
          <w:color w:val="0F172A"/>
          <w:sz w:val="24"/>
          <w:szCs w:val="24"/>
        </w:rPr>
        <w:t xml:space="preserve">Ces alertes ne disqualifient pas l'IA. Elles cadrent la posture. Et c'est précisément pour ça qu'on a un curseur éthique, qu'on a un cadre institutionnel par cycle, et qu'on a besoin d'enseignants qui réfléchissent. Pas d'enseignants qui appliquent.</w:t>
      </w:r>
    </w:p>
    <w:p>
      <w:pPr>
        <w:spacing w:after="200" w:before="320"/>
      </w:pPr>
      <w:r>
        <w:rPr>
          <w:rFonts w:ascii="Calibri" w:cs="Calibri" w:eastAsia="Calibri" w:hAnsi="Calibri"/>
          <w:b/>
          <w:bCs/>
          <w:color w:val="5B21B6"/>
          <w:sz w:val="26"/>
          <w:szCs w:val="26"/>
        </w:rPr>
        <w:t xml:space="preserve">Slide 12 — Manipuler le triangle augmenté</w:t>
      </w:r>
    </w:p>
    <w:p>
      <w:pPr>
        <w:spacing w:after="160" w:line="320"/>
      </w:pPr>
      <w:r>
        <w:rPr>
          <w:rFonts w:ascii="Calibri" w:cs="Calibri" w:eastAsia="Calibri" w:hAnsi="Calibri"/>
          <w:color w:val="0F172A"/>
          <w:sz w:val="24"/>
          <w:szCs w:val="24"/>
        </w:rPr>
        <w:t xml:space="preserve">Je vous montre une dernière fois l'application — vous avez le bouton à l'écran. Vous y trouvez les cinq onglets dont je parlais : Explorer pour découvrir, Situations pour générer un scénario sur mesure avec l'IA, Éthique pour le curseur, Mon Diagnostic pour positionner votre propre pratique, et Cadre théorique pour creuser les fondements scientifiques.</w:t>
      </w:r>
    </w:p>
    <w:p>
      <w:pPr>
        <w:spacing w:after="160" w:line="320"/>
      </w:pPr>
      <w:r>
        <w:rPr>
          <w:rFonts w:ascii="Calibri" w:cs="Calibri" w:eastAsia="Calibri" w:hAnsi="Calibri"/>
          <w:color w:val="0F172A"/>
          <w:sz w:val="24"/>
          <w:szCs w:val="24"/>
        </w:rPr>
        <w:t xml:space="preserve">L'application est en accès libre, sans création de compte, sans saisie de données personnelles, conforme au Cadre juin 2025 et au RGPD. Le code source est versé aux communs numériques éducatifs sur LaForgeEdu, sous licences ouvertes — CC BY-SA pour les contenus, MIT pour le code. Vous pouvez forker, adapter, redistribuer dans votre académie.</w:t>
      </w:r>
    </w:p>
    <w:p>
      <w:pPr>
        <w:spacing w:after="200" w:before="320"/>
      </w:pPr>
      <w:r>
        <w:rPr>
          <w:rFonts w:ascii="Calibri" w:cs="Calibri" w:eastAsia="Calibri" w:hAnsi="Calibri"/>
          <w:b/>
          <w:bCs/>
          <w:color w:val="5B21B6"/>
          <w:sz w:val="26"/>
          <w:szCs w:val="26"/>
        </w:rPr>
        <w:t xml:space="preserve">Slide 13 — Merci</w:t>
      </w:r>
    </w:p>
    <w:p>
      <w:pPr>
        <w:spacing w:after="160" w:line="320"/>
      </w:pPr>
      <w:r>
        <w:rPr>
          <w:rFonts w:ascii="Calibri" w:cs="Calibri" w:eastAsia="Calibri" w:hAnsi="Calibri"/>
          <w:color w:val="0F172A"/>
          <w:sz w:val="24"/>
          <w:szCs w:val="24"/>
        </w:rPr>
        <w:t xml:space="preserve">On boucle. Hier, ensemble, nous découvrions l'outil. Aujourd'hui, nous en avons creusé un usage concret. Demain — chez vous, dans vos classes, à vos rythmes — c'est à vous de jouer. Vos retours, vos critiques, vos usages concrets feront avancer ce travail.</w:t>
      </w:r>
    </w:p>
    <w:p>
      <w:pPr>
        <w:spacing w:after="160" w:line="320"/>
      </w:pPr>
      <w:r>
        <w:rPr>
          <w:rFonts w:ascii="Calibri" w:cs="Calibri" w:eastAsia="Calibri" w:hAnsi="Calibri"/>
          <w:color w:val="0F172A"/>
          <w:sz w:val="24"/>
          <w:szCs w:val="24"/>
        </w:rPr>
        <w:t xml:space="preserve">L'article de fond est sur le blog. L'application est sur triangle.maprofbranchee.fr. Le code source et la fiche complète sont sur LaForgeEdu. Vous trouvez tous ces liens dans le chat de la séance et sur la dernière diapo.</w:t>
      </w:r>
    </w:p>
    <w:p>
      <w:pPr>
        <w:spacing w:after="160" w:line="320"/>
      </w:pPr>
      <w:r>
        <w:rPr>
          <w:rFonts w:ascii="Calibri" w:cs="Calibri" w:eastAsia="Calibri" w:hAnsi="Calibri"/>
          <w:color w:val="0F172A"/>
          <w:sz w:val="24"/>
          <w:szCs w:val="24"/>
        </w:rPr>
        <w:t xml:space="preserve">La différenciation n'est pas un idéal qu'on atteint seul. C'est une pratique qu'on construit ensemble — enseignants, formateurs, chercheurs. Merci à toutes et à tous pour votre attention. Bonne fin de journée, et belle continuation dans vos classes.</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 Webinaire SINPA</dc:title>
  <dc:creator>Vanessa Le Scolan Nguyen — MaProfBranchee</dc:creator>
  <dc:description>Script de présentation à voix haute, prêt pour conversion audio par NotebookLM</dc:description>
  <cp:lastModifiedBy>Un-named</cp:lastModifiedBy>
  <cp:revision>1</cp:revision>
  <dcterms:created xsi:type="dcterms:W3CDTF">2026-04-28T11:40:40.586Z</dcterms:created>
  <dcterms:modified xsi:type="dcterms:W3CDTF">2026-04-28T11:40:40.587Z</dcterms:modified>
</cp:coreProperties>
</file>

<file path=docProps/custom.xml><?xml version="1.0" encoding="utf-8"?>
<Properties xmlns="http://schemas.openxmlformats.org/officeDocument/2006/custom-properties" xmlns:vt="http://schemas.openxmlformats.org/officeDocument/2006/docPropsVTypes"/>
</file>