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color w:val="1B3A6B"/>
          <w:sz w:val="48"/>
          <w:szCs w:val="48"/>
        </w:rPr>
        <w:t xml:space="preserve">GOD'S NAME WE SERVE HUMANITY, INC.</w:t>
      </w:r>
    </w:p>
    <w:p>
      <w:pPr>
        <w:spacing w:after="60" w:before="60"/>
        <w:jc w:val="center"/>
      </w:pPr>
      <w:r>
        <w:rPr>
          <w:rFonts w:ascii="Arial" w:cs="Arial" w:eastAsia="Arial" w:hAnsi="Arial"/>
          <w:color w:val="444444"/>
          <w:sz w:val="22"/>
          <w:szCs w:val="22"/>
        </w:rPr>
        <w:t xml:space="preserve">A North Carolina Nonprofit Corporation | 501(c)(3) Charitable Organization</w:t>
      </w:r>
    </w:p>
    <w:p>
      <w:pPr>
        <w:spacing w:after="60" w:before="60"/>
        <w:jc w:val="center"/>
      </w:pPr>
      <w:r>
        <w:rPr>
          <w:rFonts w:ascii="Arial" w:cs="Arial" w:eastAsia="Arial" w:hAnsi="Arial"/>
          <w:color w:val="444444"/>
          <w:sz w:val="22"/>
          <w:szCs w:val="22"/>
        </w:rPr>
        <w:t xml:space="preserve">EIN: 93-4643102  |  SOSID: 2665552  |  NCSOS Filed: July 11, 2023</w:t>
      </w:r>
    </w:p>
    <w:p>
      <w:pPr>
        <w:pBdr>
          <w:bottom w:val="single" w:color="B8960C" w:sz="2" w:space="1"/>
        </w:pBdr>
        <w:spacing w:after="200" w:before="200"/>
      </w:pPr>
      <w:r>
        <w:t xml:space="preserve"/>
      </w:r>
    </w:p>
    <w:p>
      <w:pPr>
        <w:spacing w:after="120" w:before="200"/>
        <w:jc w:val="center"/>
      </w:pPr>
      <w:r>
        <w:rPr>
          <w:rFonts w:ascii="Arial" w:cs="Arial" w:eastAsia="Arial" w:hAnsi="Arial"/>
          <w:b/>
          <w:bCs/>
          <w:caps/>
          <w:color w:val="1B3A6B"/>
          <w:sz w:val="52"/>
          <w:szCs w:val="52"/>
        </w:rPr>
        <w:t xml:space="preserve">BYLAWS</w:t>
      </w:r>
    </w:p>
    <w:p>
      <w:pPr>
        <w:spacing w:after="60" w:before="60"/>
        <w:jc w:val="center"/>
      </w:pPr>
      <w:r>
        <w:rPr>
          <w:rFonts w:ascii="Arial" w:cs="Arial" w:eastAsia="Arial" w:hAnsi="Arial"/>
          <w:b/>
          <w:bCs/>
          <w:color w:val="B8960C"/>
          <w:sz w:val="26"/>
          <w:szCs w:val="26"/>
        </w:rPr>
        <w:t xml:space="preserve">Community Development Corporation Operating Framework</w:t>
      </w:r>
    </w:p>
    <w:p>
      <w:pPr>
        <w:spacing w:after="480" w:before="120"/>
        <w:jc w:val="center"/>
      </w:pPr>
      <w:r>
        <w:rPr>
          <w:rFonts w:ascii="Arial" w:cs="Arial" w:eastAsia="Arial" w:hAnsi="Arial"/>
          <w:color w:val="666666"/>
          <w:sz w:val="22"/>
          <w:szCs w:val="22"/>
        </w:rPr>
        <w:t xml:space="preserve">Adopted: June 2026  |  Greensboro, Guilford County, North Carolina</w:t>
      </w:r>
    </w:p>
    <w:p>
      <w:pPr>
        <w:pBdr>
          <w:bottom w:val="single" w:color="B8960C" w:sz="2" w:space="1"/>
        </w:pBdr>
        <w:spacing w:after="200" w:before="200"/>
      </w:pPr>
      <w:r>
        <w:t xml:space="preserve"/>
      </w:r>
    </w:p>
    <w:p>
      <w:pPr>
        <w:pStyle w:val="Heading1"/>
        <w:pBdr>
          <w:bottom w:val="single" w:color="1B3A6B" w:sz="4" w:space="4"/>
        </w:pBdr>
        <w:spacing w:after="200" w:before="400"/>
      </w:pPr>
      <w:r>
        <w:rPr>
          <w:rFonts w:ascii="Arial" w:cs="Arial" w:eastAsia="Arial" w:hAnsi="Arial"/>
          <w:b/>
          <w:bCs/>
          <w:color w:val="1B3A6B"/>
          <w:sz w:val="28"/>
          <w:szCs w:val="28"/>
        </w:rPr>
        <w:t xml:space="preserve">PREAMBLE</w:t>
      </w:r>
    </w:p>
    <w:p>
      <w:pPr>
        <w:spacing w:after="80" w:before="80"/>
      </w:pPr>
      <w:r>
        <w:rPr>
          <w:rFonts w:ascii="Arial" w:cs="Arial" w:eastAsia="Arial" w:hAnsi="Arial"/>
          <w:sz w:val="22"/>
          <w:szCs w:val="22"/>
        </w:rPr>
        <w:t xml:space="preserve">God's Name We Serve Humanity, Inc. (hereinafter "GNWSH" or the "Corporation") is a duly incorporated North Carolina nonprofit corporation, organized exclusively for charitable purposes within the meaning of Section 501(c)(3) of the Internal Revenue Code of 1986, as amended. The Corporation operates as a Community Development Corporation (CDC) committed to the holistic transformation of underserved individuals and communities through housing development, economic empowerment, workforce reintegration, and faith-anchored service.</w:t>
      </w:r>
    </w:p>
    <w:p>
      <w:pPr>
        <w:spacing w:after="60" w:before="60"/>
      </w:pPr>
      <w:r>
        <w:t xml:space="preserve"/>
      </w:r>
    </w:p>
    <w:p>
      <w:pPr>
        <w:spacing w:after="80" w:before="80"/>
      </w:pPr>
      <w:r>
        <w:rPr>
          <w:rFonts w:ascii="Arial" w:cs="Arial" w:eastAsia="Arial" w:hAnsi="Arial"/>
          <w:sz w:val="22"/>
          <w:szCs w:val="22"/>
        </w:rPr>
        <w:t xml:space="preserve">These Bylaws establish the governance framework by which GNWSH fulfills its mission, administers its operations, manages its assets, and expands its capacity to serve humanity in the name of God. All provisions herein are subordinate to the Corporation's Articles of Incorporation filed with the North Carolina Secretary of State (SOSID: 2665552) and to applicable state and federal law.</w:t>
      </w:r>
    </w:p>
    <w:p>
      <w:pPr>
        <w:pBdr>
          <w:bottom w:val="single" w:color="B8960C" w:sz="2" w:space="1"/>
        </w:pBdr>
        <w:spacing w:after="200" w:before="200"/>
      </w:pPr>
      <w:r>
        <w:t xml:space="preserve"/>
      </w:r>
    </w:p>
    <w:p>
      <w:pPr>
        <w:spacing w:after="160" w:before="300"/>
      </w:pPr>
      <w:r>
        <w:rPr>
          <w:rFonts w:ascii="Arial" w:cs="Arial" w:eastAsia="Arial" w:hAnsi="Arial"/>
          <w:b/>
          <w:bCs/>
          <w:caps/>
          <w:color w:val="1B3A6B"/>
          <w:sz w:val="26"/>
          <w:szCs w:val="26"/>
        </w:rPr>
        <w:t xml:space="preserve">ARTICLE I — NAME, IDENTITY, AND PRINCIPAL OFFICE</w:t>
      </w:r>
    </w:p>
    <w:p>
      <w:pPr>
        <w:spacing w:after="60" w:before="60"/>
      </w:pPr>
      <w:r>
        <w:t xml:space="preserve"/>
      </w:r>
    </w:p>
    <w:p>
      <w:pPr>
        <w:pStyle w:val="Heading2"/>
        <w:spacing w:after="120" w:before="280"/>
      </w:pPr>
      <w:r>
        <w:rPr>
          <w:rFonts w:ascii="Arial" w:cs="Arial" w:eastAsia="Arial" w:hAnsi="Arial"/>
          <w:b/>
          <w:bCs/>
          <w:color w:val="1B3A6B"/>
          <w:sz w:val="24"/>
          <w:szCs w:val="24"/>
        </w:rPr>
        <w:t xml:space="preserve">Section 1.01 — Corporate Name</w:t>
      </w:r>
    </w:p>
    <w:p>
      <w:pPr>
        <w:spacing w:after="80" w:before="80"/>
      </w:pPr>
      <w:r>
        <w:rPr>
          <w:rFonts w:ascii="Arial" w:cs="Arial" w:eastAsia="Arial" w:hAnsi="Arial"/>
          <w:sz w:val="22"/>
          <w:szCs w:val="22"/>
        </w:rPr>
        <w:t xml:space="preserve">The name of the Corporation is GOD'S NAME WE SERVE HUMANITY, INC., a North Carolina nonprofit corporation.</w:t>
      </w:r>
    </w:p>
    <w:p>
      <w:pPr>
        <w:spacing w:after="60" w:before="60"/>
      </w:pPr>
      <w:r>
        <w:t xml:space="preserve"/>
      </w:r>
    </w:p>
    <w:p>
      <w:pPr>
        <w:pStyle w:val="Heading2"/>
        <w:spacing w:after="120" w:before="280"/>
      </w:pPr>
      <w:r>
        <w:rPr>
          <w:rFonts w:ascii="Arial" w:cs="Arial" w:eastAsia="Arial" w:hAnsi="Arial"/>
          <w:b/>
          <w:bCs/>
          <w:color w:val="1B3A6B"/>
          <w:sz w:val="24"/>
          <w:szCs w:val="24"/>
        </w:rPr>
        <w:t xml:space="preserve">Section 1.02 — Corporate Identity as CDC</w:t>
      </w:r>
    </w:p>
    <w:p>
      <w:pPr>
        <w:spacing w:after="80" w:before="80"/>
      </w:pPr>
      <w:r>
        <w:rPr>
          <w:rFonts w:ascii="Arial" w:cs="Arial" w:eastAsia="Arial" w:hAnsi="Arial"/>
          <w:sz w:val="22"/>
          <w:szCs w:val="22"/>
        </w:rPr>
        <w:t xml:space="preserve">The Corporation is organized and shall operate as a Community Development Corporation (CDC) under applicable North Carolina law and federal CDC standards. The Corporation's CDC designation authorizes engagement in affordable housing development, community asset acquisition, economic development financing, and related community revitalization activities consistent with its 501(c)(3) charitable purpose.</w:t>
      </w:r>
    </w:p>
    <w:p>
      <w:pPr>
        <w:spacing w:after="60" w:before="60"/>
      </w:pPr>
      <w:r>
        <w:t xml:space="preserve"/>
      </w:r>
    </w:p>
    <w:p>
      <w:pPr>
        <w:pStyle w:val="Heading2"/>
        <w:spacing w:after="120" w:before="280"/>
      </w:pPr>
      <w:r>
        <w:rPr>
          <w:rFonts w:ascii="Arial" w:cs="Arial" w:eastAsia="Arial" w:hAnsi="Arial"/>
          <w:b/>
          <w:bCs/>
          <w:color w:val="1B3A6B"/>
          <w:sz w:val="24"/>
          <w:szCs w:val="24"/>
        </w:rPr>
        <w:t xml:space="preserve">Section 1.03 — Principal Office</w:t>
      </w:r>
    </w:p>
    <w:p>
      <w:pPr>
        <w:spacing w:after="80" w:before="80"/>
      </w:pPr>
      <w:r>
        <w:rPr>
          <w:rFonts w:ascii="Arial" w:cs="Arial" w:eastAsia="Arial" w:hAnsi="Arial"/>
          <w:sz w:val="22"/>
          <w:szCs w:val="22"/>
        </w:rPr>
        <w:t xml:space="preserve">The principal office of the Corporation shall be located at 103 Shore Lake Drive, Apt H, Greensboro, Guilford County, North Carolina 27455. The Board of Directors may change the principal office by resolution. The Corporation may maintain additional offices at such other places as the Board may designate.</w:t>
      </w:r>
    </w:p>
    <w:p>
      <w:pPr>
        <w:spacing w:after="60" w:before="60"/>
      </w:pPr>
      <w:r>
        <w:t xml:space="preserve"/>
      </w:r>
    </w:p>
    <w:p>
      <w:pPr>
        <w:pStyle w:val="Heading2"/>
        <w:spacing w:after="120" w:before="280"/>
      </w:pPr>
      <w:r>
        <w:rPr>
          <w:rFonts w:ascii="Arial" w:cs="Arial" w:eastAsia="Arial" w:hAnsi="Arial"/>
          <w:b/>
          <w:bCs/>
          <w:color w:val="1B3A6B"/>
          <w:sz w:val="24"/>
          <w:szCs w:val="24"/>
        </w:rPr>
        <w:t xml:space="preserve">Section 1.04 — Registered Agent</w:t>
      </w:r>
    </w:p>
    <w:p>
      <w:pPr>
        <w:spacing w:after="80" w:before="80"/>
      </w:pPr>
      <w:r>
        <w:rPr>
          <w:rFonts w:ascii="Arial" w:cs="Arial" w:eastAsia="Arial" w:hAnsi="Arial"/>
          <w:sz w:val="22"/>
          <w:szCs w:val="22"/>
        </w:rPr>
        <w:t xml:space="preserve">The initial registered agent is Alessandro S. Imperiale, located at 103 Shore Lake Drive, Apt H, Greensboro, NC 27455. The Board may change the registered agent by filing the appropriate notice with the North Carolina Secretary of State.</w:t>
      </w:r>
    </w:p>
    <w:p>
      <w:pPr>
        <w:spacing w:after="60" w:before="60"/>
      </w:pPr>
      <w:r>
        <w:t xml:space="preserve"/>
      </w:r>
    </w:p>
    <w:p>
      <w:pPr>
        <w:pStyle w:val="Heading2"/>
        <w:spacing w:after="120" w:before="280"/>
      </w:pPr>
      <w:r>
        <w:rPr>
          <w:rFonts w:ascii="Arial" w:cs="Arial" w:eastAsia="Arial" w:hAnsi="Arial"/>
          <w:b/>
          <w:bCs/>
          <w:color w:val="1B3A6B"/>
          <w:sz w:val="24"/>
          <w:szCs w:val="24"/>
        </w:rPr>
        <w:t xml:space="preserve">Section 1.05 — Federal Tax Identification</w:t>
      </w:r>
    </w:p>
    <w:p>
      <w:pPr>
        <w:spacing w:after="80" w:before="80"/>
      </w:pPr>
      <w:r>
        <w:rPr>
          <w:rFonts w:ascii="Arial" w:cs="Arial" w:eastAsia="Arial" w:hAnsi="Arial"/>
          <w:sz w:val="22"/>
          <w:szCs w:val="22"/>
        </w:rPr>
        <w:t xml:space="preserve">The Corporation's Federal Employer Identification Number (EIN / TIN) is 93-4643102. All contracts, grant applications, property transactions, financial instruments, and tax filings shall reference this number.</w:t>
      </w:r>
    </w:p>
    <w:p>
      <w:pPr>
        <w:pBdr>
          <w:bottom w:val="single" w:color="B8960C" w:sz="2" w:space="1"/>
        </w:pBdr>
        <w:spacing w:after="200" w:before="200"/>
      </w:pPr>
      <w:r>
        <w:t xml:space="preserve"/>
      </w:r>
    </w:p>
    <w:p>
      <w:pPr>
        <w:spacing w:after="160" w:before="300"/>
      </w:pPr>
      <w:r>
        <w:rPr>
          <w:rFonts w:ascii="Arial" w:cs="Arial" w:eastAsia="Arial" w:hAnsi="Arial"/>
          <w:b/>
          <w:bCs/>
          <w:caps/>
          <w:color w:val="1B3A6B"/>
          <w:sz w:val="26"/>
          <w:szCs w:val="26"/>
        </w:rPr>
        <w:t xml:space="preserve">ARTICLE II — MISSION, PURPOSE, AND CDC ACTIVITIES</w:t>
      </w:r>
    </w:p>
    <w:p>
      <w:pPr>
        <w:spacing w:after="60" w:before="60"/>
      </w:pPr>
      <w:r>
        <w:t xml:space="preserve"/>
      </w:r>
    </w:p>
    <w:p>
      <w:pPr>
        <w:pStyle w:val="Heading2"/>
        <w:spacing w:after="120" w:before="280"/>
      </w:pPr>
      <w:r>
        <w:rPr>
          <w:rFonts w:ascii="Arial" w:cs="Arial" w:eastAsia="Arial" w:hAnsi="Arial"/>
          <w:b/>
          <w:bCs/>
          <w:color w:val="1B3A6B"/>
          <w:sz w:val="24"/>
          <w:szCs w:val="24"/>
        </w:rPr>
        <w:t xml:space="preserve">Section 2.01 — Mission Statement</w:t>
      </w:r>
    </w:p>
    <w:p>
      <w:pPr>
        <w:spacing w:after="80" w:before="80"/>
      </w:pPr>
      <w:r>
        <w:rPr>
          <w:rFonts w:ascii="Arial" w:cs="Arial" w:eastAsia="Arial" w:hAnsi="Arial"/>
          <w:sz w:val="22"/>
          <w:szCs w:val="22"/>
        </w:rPr>
        <w:t xml:space="preserve">To serve humanity in God's name through comprehensive community development — providing safe housing, workforce pathways, economic empowerment, and restorative support to individuals and families who have been underserved, incarcerated, or otherwise displaced from economic stability and community belonging.</w:t>
      </w:r>
    </w:p>
    <w:p>
      <w:pPr>
        <w:spacing w:after="60" w:before="60"/>
      </w:pPr>
      <w:r>
        <w:t xml:space="preserve"/>
      </w:r>
    </w:p>
    <w:p>
      <w:pPr>
        <w:pStyle w:val="Heading2"/>
        <w:spacing w:after="120" w:before="280"/>
      </w:pPr>
      <w:r>
        <w:rPr>
          <w:rFonts w:ascii="Arial" w:cs="Arial" w:eastAsia="Arial" w:hAnsi="Arial"/>
          <w:b/>
          <w:bCs/>
          <w:color w:val="1B3A6B"/>
          <w:sz w:val="24"/>
          <w:szCs w:val="24"/>
        </w:rPr>
        <w:t xml:space="preserve">Section 2.02 — Charitable Purpose</w:t>
      </w:r>
    </w:p>
    <w:p>
      <w:pPr>
        <w:spacing w:after="80" w:before="80"/>
      </w:pPr>
      <w:r>
        <w:rPr>
          <w:rFonts w:ascii="Arial" w:cs="Arial" w:eastAsia="Arial" w:hAnsi="Arial"/>
          <w:sz w:val="22"/>
          <w:szCs w:val="22"/>
        </w:rPr>
        <w:t xml:space="preserve">The Corporation is organized exclusively for charitable purposes under Section 501(c)(3) of the Internal Revenue Code, including but not limited to:</w:t>
      </w:r>
    </w:p>
    <w:p>
      <w:pPr>
        <w:pStyle w:val="ListParagraph"/>
        <w:numPr>
          <w:ilvl w:val="0"/>
          <w:numId w:val="2"/>
        </w:numPr>
        <w:spacing w:after="60" w:before="60"/>
      </w:pPr>
      <w:r>
        <w:rPr>
          <w:rFonts w:ascii="Arial" w:cs="Arial" w:eastAsia="Arial" w:hAnsi="Arial"/>
          <w:sz w:val="22"/>
          <w:szCs w:val="22"/>
        </w:rPr>
        <w:t xml:space="preserve">Providing and developing affordable and transitional housing for individuals transitioning from incarceration, homelessness, addiction recovery, or economic displacement;</w:t>
      </w:r>
    </w:p>
    <w:p>
      <w:pPr>
        <w:pStyle w:val="ListParagraph"/>
        <w:numPr>
          <w:ilvl w:val="0"/>
          <w:numId w:val="2"/>
        </w:numPr>
        <w:spacing w:after="60" w:before="60"/>
      </w:pPr>
      <w:r>
        <w:rPr>
          <w:rFonts w:ascii="Arial" w:cs="Arial" w:eastAsia="Arial" w:hAnsi="Arial"/>
          <w:sz w:val="22"/>
          <w:szCs w:val="22"/>
        </w:rPr>
        <w:t xml:space="preserve">Acquiring, developing, and stewarding real property to advance community revitalization and affordable housing supply;</w:t>
      </w:r>
    </w:p>
    <w:p>
      <w:pPr>
        <w:pStyle w:val="ListParagraph"/>
        <w:numPr>
          <w:ilvl w:val="0"/>
          <w:numId w:val="2"/>
        </w:numPr>
        <w:spacing w:after="60" w:before="60"/>
      </w:pPr>
      <w:r>
        <w:rPr>
          <w:rFonts w:ascii="Arial" w:cs="Arial" w:eastAsia="Arial" w:hAnsi="Arial"/>
          <w:sz w:val="22"/>
          <w:szCs w:val="22"/>
        </w:rPr>
        <w:t xml:space="preserve">Operating workforce readiness, job training, and economic empowerment programs for underserved populations;</w:t>
      </w:r>
    </w:p>
    <w:p>
      <w:pPr>
        <w:pStyle w:val="ListParagraph"/>
        <w:numPr>
          <w:ilvl w:val="0"/>
          <w:numId w:val="2"/>
        </w:numPr>
        <w:spacing w:after="60" w:before="60"/>
      </w:pPr>
      <w:r>
        <w:rPr>
          <w:rFonts w:ascii="Arial" w:cs="Arial" w:eastAsia="Arial" w:hAnsi="Arial"/>
          <w:sz w:val="22"/>
          <w:szCs w:val="22"/>
        </w:rPr>
        <w:t xml:space="preserve">Providing supportive services, case management, and faith-based counseling to individuals in reintegration;</w:t>
      </w:r>
    </w:p>
    <w:p>
      <w:pPr>
        <w:pStyle w:val="ListParagraph"/>
        <w:numPr>
          <w:ilvl w:val="0"/>
          <w:numId w:val="2"/>
        </w:numPr>
        <w:spacing w:after="60" w:before="60"/>
      </w:pPr>
      <w:r>
        <w:rPr>
          <w:rFonts w:ascii="Arial" w:cs="Arial" w:eastAsia="Arial" w:hAnsi="Arial"/>
          <w:sz w:val="22"/>
          <w:szCs w:val="22"/>
        </w:rPr>
        <w:t xml:space="preserve">Partnering with government agencies, faith communities, and private sector partners to expand access to housing and opportunity;</w:t>
      </w:r>
    </w:p>
    <w:p>
      <w:pPr>
        <w:pStyle w:val="ListParagraph"/>
        <w:numPr>
          <w:ilvl w:val="0"/>
          <w:numId w:val="2"/>
        </w:numPr>
        <w:spacing w:after="60" w:before="60"/>
      </w:pPr>
      <w:r>
        <w:rPr>
          <w:rFonts w:ascii="Arial" w:cs="Arial" w:eastAsia="Arial" w:hAnsi="Arial"/>
          <w:sz w:val="22"/>
          <w:szCs w:val="22"/>
        </w:rPr>
        <w:t xml:space="preserve">Administering grant programs, community investment funds, and charitable distributions in furtherance of the above purposes.</w:t>
      </w:r>
    </w:p>
    <w:p>
      <w:pPr>
        <w:spacing w:after="60" w:before="60"/>
      </w:pPr>
      <w:r>
        <w:t xml:space="preserve"/>
      </w:r>
    </w:p>
    <w:p>
      <w:pPr>
        <w:pStyle w:val="Heading2"/>
        <w:spacing w:after="120" w:before="280"/>
      </w:pPr>
      <w:r>
        <w:rPr>
          <w:rFonts w:ascii="Arial" w:cs="Arial" w:eastAsia="Arial" w:hAnsi="Arial"/>
          <w:b/>
          <w:bCs/>
          <w:color w:val="1B3A6B"/>
          <w:sz w:val="24"/>
          <w:szCs w:val="24"/>
        </w:rPr>
        <w:t xml:space="preserve">Section 2.03 — CDC-Specific Activities</w:t>
      </w:r>
    </w:p>
    <w:p>
      <w:pPr>
        <w:spacing w:after="80" w:before="80"/>
      </w:pPr>
      <w:r>
        <w:rPr>
          <w:rFonts w:ascii="Arial" w:cs="Arial" w:eastAsia="Arial" w:hAnsi="Arial"/>
          <w:sz w:val="22"/>
          <w:szCs w:val="22"/>
        </w:rPr>
        <w:t xml:space="preserve">As a Community Development Corporation, the Corporation is specifically authorized to engage in the following activities:</w:t>
      </w:r>
    </w:p>
    <w:p>
      <w:pPr>
        <w:pStyle w:val="ListParagraph"/>
        <w:numPr>
          <w:ilvl w:val="0"/>
          <w:numId w:val="3"/>
        </w:numPr>
        <w:spacing w:after="60" w:before="60"/>
      </w:pPr>
      <w:r>
        <w:rPr>
          <w:rFonts w:ascii="Arial" w:cs="Arial" w:eastAsia="Arial" w:hAnsi="Arial"/>
          <w:sz w:val="22"/>
          <w:szCs w:val="22"/>
        </w:rPr>
        <w:t xml:space="preserve">Real property acquisition, development, rehabilitation, and disposition for affordable housing and community use;</w:t>
      </w:r>
    </w:p>
    <w:p>
      <w:pPr>
        <w:pStyle w:val="ListParagraph"/>
        <w:numPr>
          <w:ilvl w:val="0"/>
          <w:numId w:val="3"/>
        </w:numPr>
        <w:spacing w:after="60" w:before="60"/>
      </w:pPr>
      <w:r>
        <w:rPr>
          <w:rFonts w:ascii="Arial" w:cs="Arial" w:eastAsia="Arial" w:hAnsi="Arial"/>
          <w:sz w:val="22"/>
          <w:szCs w:val="22"/>
        </w:rPr>
        <w:t xml:space="preserve">Participation in federal, state, and local housing programs including HUD, USDA, HOME, CDBG, and Low-Income Housing Tax Credit (LIHTC) programs;</w:t>
      </w:r>
    </w:p>
    <w:p>
      <w:pPr>
        <w:pStyle w:val="ListParagraph"/>
        <w:numPr>
          <w:ilvl w:val="0"/>
          <w:numId w:val="3"/>
        </w:numPr>
        <w:spacing w:after="60" w:before="60"/>
      </w:pPr>
      <w:r>
        <w:rPr>
          <w:rFonts w:ascii="Arial" w:cs="Arial" w:eastAsia="Arial" w:hAnsi="Arial"/>
          <w:sz w:val="22"/>
          <w:szCs w:val="22"/>
        </w:rPr>
        <w:t xml:space="preserve">Development of Accessory Dwelling Units (ADUs), transitional housing facilities, and mixed-use community developments;</w:t>
      </w:r>
    </w:p>
    <w:p>
      <w:pPr>
        <w:pStyle w:val="ListParagraph"/>
        <w:numPr>
          <w:ilvl w:val="0"/>
          <w:numId w:val="3"/>
        </w:numPr>
        <w:spacing w:after="60" w:before="60"/>
      </w:pPr>
      <w:r>
        <w:rPr>
          <w:rFonts w:ascii="Arial" w:cs="Arial" w:eastAsia="Arial" w:hAnsi="Arial"/>
          <w:sz w:val="22"/>
          <w:szCs w:val="22"/>
        </w:rPr>
        <w:t xml:space="preserve">Establishment and administration of a Real Estate Enterprise Trust or similar vehicle for holding and managing community assets;</w:t>
      </w:r>
    </w:p>
    <w:p>
      <w:pPr>
        <w:pStyle w:val="ListParagraph"/>
        <w:numPr>
          <w:ilvl w:val="0"/>
          <w:numId w:val="3"/>
        </w:numPr>
        <w:spacing w:after="60" w:before="60"/>
      </w:pPr>
      <w:r>
        <w:rPr>
          <w:rFonts w:ascii="Arial" w:cs="Arial" w:eastAsia="Arial" w:hAnsi="Arial"/>
          <w:sz w:val="22"/>
          <w:szCs w:val="22"/>
        </w:rPr>
        <w:t xml:space="preserve">Application for and administration of New Markets Tax Credits (NMTC), Community Development Financial Institution (CDFI) designations, and related financing instruments;</w:t>
      </w:r>
    </w:p>
    <w:p>
      <w:pPr>
        <w:pStyle w:val="ListParagraph"/>
        <w:numPr>
          <w:ilvl w:val="0"/>
          <w:numId w:val="3"/>
        </w:numPr>
        <w:spacing w:after="60" w:before="60"/>
      </w:pPr>
      <w:r>
        <w:rPr>
          <w:rFonts w:ascii="Arial" w:cs="Arial" w:eastAsia="Arial" w:hAnsi="Arial"/>
          <w:sz w:val="22"/>
          <w:szCs w:val="22"/>
        </w:rPr>
        <w:t xml:space="preserve">Formation of subsidiaries, limited partnerships, or LLCs for the purpose of developing specific housing or community projects;</w:t>
      </w:r>
    </w:p>
    <w:p>
      <w:pPr>
        <w:pStyle w:val="ListParagraph"/>
        <w:numPr>
          <w:ilvl w:val="0"/>
          <w:numId w:val="3"/>
        </w:numPr>
        <w:spacing w:after="60" w:before="60"/>
      </w:pPr>
      <w:r>
        <w:rPr>
          <w:rFonts w:ascii="Arial" w:cs="Arial" w:eastAsia="Arial" w:hAnsi="Arial"/>
          <w:sz w:val="22"/>
          <w:szCs w:val="22"/>
        </w:rPr>
        <w:t xml:space="preserve">Securing construction loans, lines of credit, bridge financing, and permanent mortgage financing for community development projects.</w:t>
      </w:r>
    </w:p>
    <w:p>
      <w:pPr>
        <w:pBdr>
          <w:bottom w:val="single" w:color="B8960C" w:sz="2" w:space="1"/>
        </w:pBdr>
        <w:spacing w:after="200" w:before="200"/>
      </w:pPr>
      <w:r>
        <w:t xml:space="preserve"/>
      </w:r>
    </w:p>
    <w:p>
      <w:pPr>
        <w:spacing w:after="160" w:before="300"/>
      </w:pPr>
      <w:r>
        <w:rPr>
          <w:rFonts w:ascii="Arial" w:cs="Arial" w:eastAsia="Arial" w:hAnsi="Arial"/>
          <w:b/>
          <w:bCs/>
          <w:caps/>
          <w:color w:val="1B3A6B"/>
          <w:sz w:val="26"/>
          <w:szCs w:val="26"/>
        </w:rPr>
        <w:t xml:space="preserve">ARTICLE III — MEMBERSHIP</w:t>
      </w:r>
    </w:p>
    <w:p>
      <w:pPr>
        <w:spacing w:after="60" w:before="60"/>
      </w:pPr>
      <w:r>
        <w:t xml:space="preserve"/>
      </w:r>
    </w:p>
    <w:p>
      <w:pPr>
        <w:pStyle w:val="Heading2"/>
        <w:spacing w:after="120" w:before="280"/>
      </w:pPr>
      <w:r>
        <w:rPr>
          <w:rFonts w:ascii="Arial" w:cs="Arial" w:eastAsia="Arial" w:hAnsi="Arial"/>
          <w:b/>
          <w:bCs/>
          <w:color w:val="1B3A6B"/>
          <w:sz w:val="24"/>
          <w:szCs w:val="24"/>
        </w:rPr>
        <w:t xml:space="preserve">Section 3.01 — No Members</w:t>
      </w:r>
    </w:p>
    <w:p>
      <w:pPr>
        <w:spacing w:after="80" w:before="80"/>
      </w:pPr>
      <w:r>
        <w:rPr>
          <w:rFonts w:ascii="Arial" w:cs="Arial" w:eastAsia="Arial" w:hAnsi="Arial"/>
          <w:sz w:val="22"/>
          <w:szCs w:val="22"/>
        </w:rPr>
        <w:t xml:space="preserve">Pursuant to the Corporation's Articles of Incorporation, the Corporation shall NOT have members within the meaning of N.C.G.S. Chapter 55A. All governance authority is vested in the Board of Directors. References in these Bylaws to actions that might otherwise be taken by members shall be construed as actions taken by the Board of Directors.</w:t>
      </w:r>
    </w:p>
    <w:p>
      <w:pPr>
        <w:pBdr>
          <w:bottom w:val="single" w:color="B8960C" w:sz="2" w:space="1"/>
        </w:pBdr>
        <w:spacing w:after="200" w:before="200"/>
      </w:pPr>
      <w:r>
        <w:t xml:space="preserve"/>
      </w:r>
    </w:p>
    <w:p>
      <w:pPr>
        <w:spacing w:after="160" w:before="300"/>
      </w:pPr>
      <w:r>
        <w:rPr>
          <w:rFonts w:ascii="Arial" w:cs="Arial" w:eastAsia="Arial" w:hAnsi="Arial"/>
          <w:b/>
          <w:bCs/>
          <w:caps/>
          <w:color w:val="1B3A6B"/>
          <w:sz w:val="26"/>
          <w:szCs w:val="26"/>
        </w:rPr>
        <w:t xml:space="preserve">ARTICLE IV — BOARD OF DIRECTORS</w:t>
      </w:r>
    </w:p>
    <w:p>
      <w:pPr>
        <w:spacing w:after="60" w:before="60"/>
      </w:pPr>
      <w:r>
        <w:t xml:space="preserve"/>
      </w:r>
    </w:p>
    <w:p>
      <w:pPr>
        <w:pStyle w:val="Heading2"/>
        <w:spacing w:after="120" w:before="280"/>
      </w:pPr>
      <w:r>
        <w:rPr>
          <w:rFonts w:ascii="Arial" w:cs="Arial" w:eastAsia="Arial" w:hAnsi="Arial"/>
          <w:b/>
          <w:bCs/>
          <w:color w:val="1B3A6B"/>
          <w:sz w:val="24"/>
          <w:szCs w:val="24"/>
        </w:rPr>
        <w:t xml:space="preserve">Section 4.01 — Authority</w:t>
      </w:r>
    </w:p>
    <w:p>
      <w:pPr>
        <w:spacing w:after="80" w:before="80"/>
      </w:pPr>
      <w:r>
        <w:rPr>
          <w:rFonts w:ascii="Arial" w:cs="Arial" w:eastAsia="Arial" w:hAnsi="Arial"/>
          <w:sz w:val="22"/>
          <w:szCs w:val="22"/>
        </w:rPr>
        <w:t xml:space="preserve">The Board of Directors ("Board") shall be the governing body of the Corporation. The Board has full authority to manage the affairs of the Corporation, set strategic direction, approve budgets, authorize property transactions, execute contracts, and fulfill all governance responsibilities required by law and these Bylaws.</w:t>
      </w:r>
    </w:p>
    <w:p>
      <w:pPr>
        <w:spacing w:after="60" w:before="60"/>
      </w:pPr>
      <w:r>
        <w:t xml:space="preserve"/>
      </w:r>
    </w:p>
    <w:p>
      <w:pPr>
        <w:pStyle w:val="Heading2"/>
        <w:spacing w:after="120" w:before="280"/>
      </w:pPr>
      <w:r>
        <w:rPr>
          <w:rFonts w:ascii="Arial" w:cs="Arial" w:eastAsia="Arial" w:hAnsi="Arial"/>
          <w:b/>
          <w:bCs/>
          <w:color w:val="1B3A6B"/>
          <w:sz w:val="24"/>
          <w:szCs w:val="24"/>
        </w:rPr>
        <w:t xml:space="preserve">Section 4.02 — Number of Directors</w:t>
      </w:r>
    </w:p>
    <w:p>
      <w:pPr>
        <w:spacing w:after="80" w:before="80"/>
      </w:pPr>
      <w:r>
        <w:rPr>
          <w:rFonts w:ascii="Arial" w:cs="Arial" w:eastAsia="Arial" w:hAnsi="Arial"/>
          <w:sz w:val="22"/>
          <w:szCs w:val="22"/>
        </w:rPr>
        <w:t xml:space="preserve">The Board shall consist of not fewer than three (3) and not more than fifteen (15) directors. The initial number shall be determined by the incorporator. The Board may adjust the number within this range by resolution.</w:t>
      </w:r>
    </w:p>
    <w:p>
      <w:pPr>
        <w:spacing w:after="60" w:before="60"/>
      </w:pPr>
      <w:r>
        <w:t xml:space="preserve"/>
      </w:r>
    </w:p>
    <w:p>
      <w:pPr>
        <w:pStyle w:val="Heading2"/>
        <w:spacing w:after="120" w:before="280"/>
      </w:pPr>
      <w:r>
        <w:rPr>
          <w:rFonts w:ascii="Arial" w:cs="Arial" w:eastAsia="Arial" w:hAnsi="Arial"/>
          <w:b/>
          <w:bCs/>
          <w:color w:val="1B3A6B"/>
          <w:sz w:val="24"/>
          <w:szCs w:val="24"/>
        </w:rPr>
        <w:t xml:space="preserve">Section 4.03 — Qualifications</w:t>
      </w:r>
    </w:p>
    <w:p>
      <w:pPr>
        <w:spacing w:after="80" w:before="80"/>
      </w:pPr>
      <w:r>
        <w:rPr>
          <w:rFonts w:ascii="Arial" w:cs="Arial" w:eastAsia="Arial" w:hAnsi="Arial"/>
          <w:sz w:val="22"/>
          <w:szCs w:val="22"/>
        </w:rPr>
        <w:t xml:space="preserve">Directors shall be natural persons, at least 18 years of age. At least one-third (1/3) of directors shall be residents of the communities served by the Corporation ("Community Representatives"), in accordance with CDC best practices and applicable funding requirements. Directors shall not have a felony conviction involving financial fraud, embezzlement, or crimes of moral turpitude related to fiduciary duty.</w:t>
      </w:r>
    </w:p>
    <w:p>
      <w:pPr>
        <w:spacing w:after="60" w:before="60"/>
      </w:pPr>
      <w:r>
        <w:t xml:space="preserve"/>
      </w:r>
    </w:p>
    <w:p>
      <w:pPr>
        <w:pStyle w:val="Heading2"/>
        <w:spacing w:after="120" w:before="280"/>
      </w:pPr>
      <w:r>
        <w:rPr>
          <w:rFonts w:ascii="Arial" w:cs="Arial" w:eastAsia="Arial" w:hAnsi="Arial"/>
          <w:b/>
          <w:bCs/>
          <w:color w:val="1B3A6B"/>
          <w:sz w:val="24"/>
          <w:szCs w:val="24"/>
        </w:rPr>
        <w:t xml:space="preserve">Section 4.04 — Terms of Office</w:t>
      </w:r>
    </w:p>
    <w:p>
      <w:pPr>
        <w:spacing w:after="80" w:before="80"/>
      </w:pPr>
      <w:r>
        <w:rPr>
          <w:rFonts w:ascii="Arial" w:cs="Arial" w:eastAsia="Arial" w:hAnsi="Arial"/>
          <w:sz w:val="22"/>
          <w:szCs w:val="22"/>
        </w:rPr>
        <w:t xml:space="preserve">Directors shall serve three-year (3) staggered terms. No director shall serve more than three (3) consecutive terms without a one-year interval. The Board may waive the term limit for good cause by a two-thirds (2/3) vote.</w:t>
      </w:r>
    </w:p>
    <w:p>
      <w:pPr>
        <w:spacing w:after="60" w:before="60"/>
      </w:pPr>
      <w:r>
        <w:t xml:space="preserve"/>
      </w:r>
    </w:p>
    <w:p>
      <w:pPr>
        <w:pStyle w:val="Heading2"/>
        <w:spacing w:after="120" w:before="280"/>
      </w:pPr>
      <w:r>
        <w:rPr>
          <w:rFonts w:ascii="Arial" w:cs="Arial" w:eastAsia="Arial" w:hAnsi="Arial"/>
          <w:b/>
          <w:bCs/>
          <w:color w:val="1B3A6B"/>
          <w:sz w:val="24"/>
          <w:szCs w:val="24"/>
        </w:rPr>
        <w:t xml:space="preserve">Section 4.05 — Elections and Appointments</w:t>
      </w:r>
    </w:p>
    <w:p>
      <w:pPr>
        <w:spacing w:after="80" w:before="80"/>
      </w:pPr>
      <w:r>
        <w:rPr>
          <w:rFonts w:ascii="Arial" w:cs="Arial" w:eastAsia="Arial" w:hAnsi="Arial"/>
          <w:sz w:val="22"/>
          <w:szCs w:val="22"/>
        </w:rPr>
        <w:t xml:space="preserve">Directors shall be elected or appointed by the existing Board. Vacancies may be filled by the Board for the remainder of the unexpired term.</w:t>
      </w:r>
    </w:p>
    <w:p>
      <w:pPr>
        <w:spacing w:after="60" w:before="60"/>
      </w:pPr>
      <w:r>
        <w:t xml:space="preserve"/>
      </w:r>
    </w:p>
    <w:p>
      <w:pPr>
        <w:pStyle w:val="Heading2"/>
        <w:spacing w:after="120" w:before="280"/>
      </w:pPr>
      <w:r>
        <w:rPr>
          <w:rFonts w:ascii="Arial" w:cs="Arial" w:eastAsia="Arial" w:hAnsi="Arial"/>
          <w:b/>
          <w:bCs/>
          <w:color w:val="1B3A6B"/>
          <w:sz w:val="24"/>
          <w:szCs w:val="24"/>
        </w:rPr>
        <w:t xml:space="preserve">Section 4.06 — Removal</w:t>
      </w:r>
    </w:p>
    <w:p>
      <w:pPr>
        <w:spacing w:after="80" w:before="80"/>
      </w:pPr>
      <w:r>
        <w:rPr>
          <w:rFonts w:ascii="Arial" w:cs="Arial" w:eastAsia="Arial" w:hAnsi="Arial"/>
          <w:sz w:val="22"/>
          <w:szCs w:val="22"/>
        </w:rPr>
        <w:t xml:space="preserve">A director may be removed with or without cause by a two-thirds (2/3) vote of the remaining directors at any duly noticed meeting. A director who misses three (3) consecutive regular meetings without excuse approved by the Board Chair shall be deemed to have resigned.</w:t>
      </w:r>
    </w:p>
    <w:p>
      <w:pPr>
        <w:spacing w:after="60" w:before="60"/>
      </w:pPr>
      <w:r>
        <w:t xml:space="preserve"/>
      </w:r>
    </w:p>
    <w:p>
      <w:pPr>
        <w:pStyle w:val="Heading2"/>
        <w:spacing w:after="120" w:before="280"/>
      </w:pPr>
      <w:r>
        <w:rPr>
          <w:rFonts w:ascii="Arial" w:cs="Arial" w:eastAsia="Arial" w:hAnsi="Arial"/>
          <w:b/>
          <w:bCs/>
          <w:color w:val="1B3A6B"/>
          <w:sz w:val="24"/>
          <w:szCs w:val="24"/>
        </w:rPr>
        <w:t xml:space="preserve">Section 4.07 — Compensation</w:t>
      </w:r>
    </w:p>
    <w:p>
      <w:pPr>
        <w:spacing w:after="80" w:before="80"/>
      </w:pPr>
      <w:r>
        <w:rPr>
          <w:rFonts w:ascii="Arial" w:cs="Arial" w:eastAsia="Arial" w:hAnsi="Arial"/>
          <w:sz w:val="22"/>
          <w:szCs w:val="22"/>
        </w:rPr>
        <w:t xml:space="preserve">Directors shall serve without compensation, except that reasonable expenses incurred in the performance of board duties may be reimbursed as approved by Board resolution. Nothing herein shall prevent a director from providing professional services to the Corporation under a separately approved contract at arm's-length, disclosed terms.</w:t>
      </w:r>
    </w:p>
    <w:p>
      <w:pPr>
        <w:spacing w:after="60" w:before="60"/>
      </w:pPr>
      <w:r>
        <w:t xml:space="preserve"/>
      </w:r>
    </w:p>
    <w:p>
      <w:pPr>
        <w:pStyle w:val="Heading2"/>
        <w:spacing w:after="120" w:before="280"/>
      </w:pPr>
      <w:r>
        <w:rPr>
          <w:rFonts w:ascii="Arial" w:cs="Arial" w:eastAsia="Arial" w:hAnsi="Arial"/>
          <w:b/>
          <w:bCs/>
          <w:color w:val="1B3A6B"/>
          <w:sz w:val="24"/>
          <w:szCs w:val="24"/>
        </w:rPr>
        <w:t xml:space="preserve">Section 4.08 — Regular Meetings</w:t>
      </w:r>
    </w:p>
    <w:p>
      <w:pPr>
        <w:spacing w:after="80" w:before="80"/>
      </w:pPr>
      <w:r>
        <w:rPr>
          <w:rFonts w:ascii="Arial" w:cs="Arial" w:eastAsia="Arial" w:hAnsi="Arial"/>
          <w:sz w:val="22"/>
          <w:szCs w:val="22"/>
        </w:rPr>
        <w:t xml:space="preserve">The Board shall meet not fewer than four (4) times per calendar year. The Board Chair shall set the schedule of regular meetings. Meetings may be held in person, by telephone, by video conference, or any combination thereof.</w:t>
      </w:r>
    </w:p>
    <w:p>
      <w:pPr>
        <w:spacing w:after="60" w:before="60"/>
      </w:pPr>
      <w:r>
        <w:t xml:space="preserve"/>
      </w:r>
    </w:p>
    <w:p>
      <w:pPr>
        <w:pStyle w:val="Heading2"/>
        <w:spacing w:after="120" w:before="280"/>
      </w:pPr>
      <w:r>
        <w:rPr>
          <w:rFonts w:ascii="Arial" w:cs="Arial" w:eastAsia="Arial" w:hAnsi="Arial"/>
          <w:b/>
          <w:bCs/>
          <w:color w:val="1B3A6B"/>
          <w:sz w:val="24"/>
          <w:szCs w:val="24"/>
        </w:rPr>
        <w:t xml:space="preserve">Section 4.09 — Special Meetings</w:t>
      </w:r>
    </w:p>
    <w:p>
      <w:pPr>
        <w:spacing w:after="80" w:before="80"/>
      </w:pPr>
      <w:r>
        <w:rPr>
          <w:rFonts w:ascii="Arial" w:cs="Arial" w:eastAsia="Arial" w:hAnsi="Arial"/>
          <w:sz w:val="22"/>
          <w:szCs w:val="22"/>
        </w:rPr>
        <w:t xml:space="preserve">Special meetings may be called by the Board Chair, President/Executive Director, or by written request of one-third (1/3) of directors. Notice of special meetings shall be given not fewer than 48 hours in advance, stating the purpose(s) of the meeting.</w:t>
      </w:r>
    </w:p>
    <w:p>
      <w:pPr>
        <w:spacing w:after="60" w:before="60"/>
      </w:pPr>
      <w:r>
        <w:t xml:space="preserve"/>
      </w:r>
    </w:p>
    <w:p>
      <w:pPr>
        <w:pStyle w:val="Heading2"/>
        <w:spacing w:after="120" w:before="280"/>
      </w:pPr>
      <w:r>
        <w:rPr>
          <w:rFonts w:ascii="Arial" w:cs="Arial" w:eastAsia="Arial" w:hAnsi="Arial"/>
          <w:b/>
          <w:bCs/>
          <w:color w:val="1B3A6B"/>
          <w:sz w:val="24"/>
          <w:szCs w:val="24"/>
        </w:rPr>
        <w:t xml:space="preserve">Section 4.10 — Quorum and Voting</w:t>
      </w:r>
    </w:p>
    <w:p>
      <w:pPr>
        <w:spacing w:after="80" w:before="80"/>
      </w:pPr>
      <w:r>
        <w:rPr>
          <w:rFonts w:ascii="Arial" w:cs="Arial" w:eastAsia="Arial" w:hAnsi="Arial"/>
          <w:sz w:val="22"/>
          <w:szCs w:val="22"/>
        </w:rPr>
        <w:t xml:space="preserve">A majority of directors then in office shall constitute a quorum. Actions of the Board shall require a majority vote of directors present at a meeting at which a quorum is present, unless a greater vote is required by law or these Bylaws. Each director has one vote.</w:t>
      </w:r>
    </w:p>
    <w:p>
      <w:pPr>
        <w:spacing w:after="60" w:before="60"/>
      </w:pPr>
      <w:r>
        <w:t xml:space="preserve"/>
      </w:r>
    </w:p>
    <w:p>
      <w:pPr>
        <w:pStyle w:val="Heading2"/>
        <w:spacing w:after="120" w:before="280"/>
      </w:pPr>
      <w:r>
        <w:rPr>
          <w:rFonts w:ascii="Arial" w:cs="Arial" w:eastAsia="Arial" w:hAnsi="Arial"/>
          <w:b/>
          <w:bCs/>
          <w:color w:val="1B3A6B"/>
          <w:sz w:val="24"/>
          <w:szCs w:val="24"/>
        </w:rPr>
        <w:t xml:space="preserve">Section 4.11 — Action Without Meeting</w:t>
      </w:r>
    </w:p>
    <w:p>
      <w:pPr>
        <w:spacing w:after="80" w:before="80"/>
      </w:pPr>
      <w:r>
        <w:rPr>
          <w:rFonts w:ascii="Arial" w:cs="Arial" w:eastAsia="Arial" w:hAnsi="Arial"/>
          <w:sz w:val="22"/>
          <w:szCs w:val="22"/>
        </w:rPr>
        <w:t xml:space="preserve">The Board may act without a meeting by unanimous written consent of all directors then in office, signed and delivered to the Secretary. Consent via electronic mail or secure electronic signature platform constitutes a valid written consent.</w:t>
      </w:r>
    </w:p>
    <w:p>
      <w:pPr>
        <w:pBdr>
          <w:bottom w:val="single" w:color="B8960C" w:sz="2" w:space="1"/>
        </w:pBdr>
        <w:spacing w:after="200" w:before="200"/>
      </w:pPr>
      <w:r>
        <w:t xml:space="preserve"/>
      </w:r>
    </w:p>
    <w:p>
      <w:pPr>
        <w:spacing w:after="160" w:before="300"/>
      </w:pPr>
      <w:r>
        <w:rPr>
          <w:rFonts w:ascii="Arial" w:cs="Arial" w:eastAsia="Arial" w:hAnsi="Arial"/>
          <w:b/>
          <w:bCs/>
          <w:caps/>
          <w:color w:val="1B3A6B"/>
          <w:sz w:val="26"/>
          <w:szCs w:val="26"/>
        </w:rPr>
        <w:t xml:space="preserve">ARTICLE V — OFFICERS</w:t>
      </w:r>
    </w:p>
    <w:p>
      <w:pPr>
        <w:spacing w:after="60" w:before="60"/>
      </w:pPr>
      <w:r>
        <w:t xml:space="preserve"/>
      </w:r>
    </w:p>
    <w:p>
      <w:pPr>
        <w:pStyle w:val="Heading2"/>
        <w:spacing w:after="120" w:before="280"/>
      </w:pPr>
      <w:r>
        <w:rPr>
          <w:rFonts w:ascii="Arial" w:cs="Arial" w:eastAsia="Arial" w:hAnsi="Arial"/>
          <w:b/>
          <w:bCs/>
          <w:color w:val="1B3A6B"/>
          <w:sz w:val="24"/>
          <w:szCs w:val="24"/>
        </w:rPr>
        <w:t xml:space="preserve">Section 5.01 — Officers</w:t>
      </w:r>
    </w:p>
    <w:p>
      <w:pPr>
        <w:spacing w:after="80" w:before="80"/>
      </w:pPr>
      <w:r>
        <w:rPr>
          <w:rFonts w:ascii="Arial" w:cs="Arial" w:eastAsia="Arial" w:hAnsi="Arial"/>
          <w:sz w:val="22"/>
          <w:szCs w:val="22"/>
        </w:rPr>
        <w:t xml:space="preserve">The officers of the Corporation shall include: (a) Board Chair, (b) Vice Chair, (c) Secretary, (d) Treasurer, and (e) President / Executive Director. The Board may establish additional officer positions by resolution. No person shall hold more than two officer positions simultaneously.</w:t>
      </w:r>
    </w:p>
    <w:p>
      <w:pPr>
        <w:spacing w:after="60" w:before="60"/>
      </w:pPr>
      <w:r>
        <w:t xml:space="preserve"/>
      </w:r>
    </w:p>
    <w:p>
      <w:pPr>
        <w:pStyle w:val="Heading2"/>
        <w:spacing w:after="120" w:before="280"/>
      </w:pPr>
      <w:r>
        <w:rPr>
          <w:rFonts w:ascii="Arial" w:cs="Arial" w:eastAsia="Arial" w:hAnsi="Arial"/>
          <w:b/>
          <w:bCs/>
          <w:color w:val="1B3A6B"/>
          <w:sz w:val="24"/>
          <w:szCs w:val="24"/>
        </w:rPr>
        <w:t xml:space="preserve">Section 5.02 — Election and Terms</w:t>
      </w:r>
    </w:p>
    <w:p>
      <w:pPr>
        <w:spacing w:after="80" w:before="80"/>
      </w:pPr>
      <w:r>
        <w:rPr>
          <w:rFonts w:ascii="Arial" w:cs="Arial" w:eastAsia="Arial" w:hAnsi="Arial"/>
          <w:sz w:val="22"/>
          <w:szCs w:val="22"/>
        </w:rPr>
        <w:t xml:space="preserve">Officers shall be elected by the Board at the annual meeting and shall serve one-year (1) terms, subject to reelection. Officers serve at the pleasure of the Board.</w:t>
      </w:r>
    </w:p>
    <w:p>
      <w:pPr>
        <w:spacing w:after="60" w:before="60"/>
      </w:pPr>
      <w:r>
        <w:t xml:space="preserve"/>
      </w:r>
    </w:p>
    <w:p>
      <w:pPr>
        <w:pStyle w:val="Heading2"/>
        <w:spacing w:after="120" w:before="280"/>
      </w:pPr>
      <w:r>
        <w:rPr>
          <w:rFonts w:ascii="Arial" w:cs="Arial" w:eastAsia="Arial" w:hAnsi="Arial"/>
          <w:b/>
          <w:bCs/>
          <w:color w:val="1B3A6B"/>
          <w:sz w:val="24"/>
          <w:szCs w:val="24"/>
        </w:rPr>
        <w:t xml:space="preserve">Section 5.03 — Board Chair</w:t>
      </w:r>
    </w:p>
    <w:p>
      <w:pPr>
        <w:spacing w:after="80" w:before="80"/>
      </w:pPr>
      <w:r>
        <w:rPr>
          <w:rFonts w:ascii="Arial" w:cs="Arial" w:eastAsia="Arial" w:hAnsi="Arial"/>
          <w:sz w:val="22"/>
          <w:szCs w:val="22"/>
        </w:rPr>
        <w:t xml:space="preserve">The Board Chair shall preside at all meetings of the Board, facilitate board development, serve as the primary liaison between the Board and Executive Director, and perform such other duties as assigned by the Board.</w:t>
      </w:r>
    </w:p>
    <w:p>
      <w:pPr>
        <w:spacing w:after="60" w:before="60"/>
      </w:pPr>
      <w:r>
        <w:t xml:space="preserve"/>
      </w:r>
    </w:p>
    <w:p>
      <w:pPr>
        <w:pStyle w:val="Heading2"/>
        <w:spacing w:after="120" w:before="280"/>
      </w:pPr>
      <w:r>
        <w:rPr>
          <w:rFonts w:ascii="Arial" w:cs="Arial" w:eastAsia="Arial" w:hAnsi="Arial"/>
          <w:b/>
          <w:bCs/>
          <w:color w:val="1B3A6B"/>
          <w:sz w:val="24"/>
          <w:szCs w:val="24"/>
        </w:rPr>
        <w:t xml:space="preserve">Section 5.04 — President / Executive Director</w:t>
      </w:r>
    </w:p>
    <w:p>
      <w:pPr>
        <w:spacing w:after="80" w:before="80"/>
      </w:pPr>
      <w:r>
        <w:rPr>
          <w:rFonts w:ascii="Arial" w:cs="Arial" w:eastAsia="Arial" w:hAnsi="Arial"/>
          <w:sz w:val="22"/>
          <w:szCs w:val="22"/>
        </w:rPr>
        <w:t xml:space="preserve">The President / Executive Director ("ED") is the chief executive officer of the Corporation and is responsible for day-to-day operations, staff management, program delivery, grant administration, property development oversight, financial management, and implementation of Board policy. The ED may be a director or a non-director employee. The ED shall report to the Board Chair and full Board.</w:t>
      </w:r>
    </w:p>
    <w:p>
      <w:pPr>
        <w:spacing w:after="60" w:before="60"/>
      </w:pPr>
      <w:r>
        <w:t xml:space="preserve"/>
      </w:r>
    </w:p>
    <w:p>
      <w:pPr>
        <w:pStyle w:val="Heading2"/>
        <w:spacing w:after="120" w:before="280"/>
      </w:pPr>
      <w:r>
        <w:rPr>
          <w:rFonts w:ascii="Arial" w:cs="Arial" w:eastAsia="Arial" w:hAnsi="Arial"/>
          <w:b/>
          <w:bCs/>
          <w:color w:val="1B3A6B"/>
          <w:sz w:val="24"/>
          <w:szCs w:val="24"/>
        </w:rPr>
        <w:t xml:space="preserve">Section 5.05 — Secretary</w:t>
      </w:r>
    </w:p>
    <w:p>
      <w:pPr>
        <w:spacing w:after="80" w:before="80"/>
      </w:pPr>
      <w:r>
        <w:rPr>
          <w:rFonts w:ascii="Arial" w:cs="Arial" w:eastAsia="Arial" w:hAnsi="Arial"/>
          <w:sz w:val="22"/>
          <w:szCs w:val="22"/>
        </w:rPr>
        <w:t xml:space="preserve">The Secretary shall maintain minutes of all Board meetings, certify corporate records, maintain the official corporate record book, manage official correspondence, ensure filing of required state and federal reports, and perform other duties assigned by the Board.</w:t>
      </w:r>
    </w:p>
    <w:p>
      <w:pPr>
        <w:spacing w:after="60" w:before="60"/>
      </w:pPr>
      <w:r>
        <w:t xml:space="preserve"/>
      </w:r>
    </w:p>
    <w:p>
      <w:pPr>
        <w:pStyle w:val="Heading2"/>
        <w:spacing w:after="120" w:before="280"/>
      </w:pPr>
      <w:r>
        <w:rPr>
          <w:rFonts w:ascii="Arial" w:cs="Arial" w:eastAsia="Arial" w:hAnsi="Arial"/>
          <w:b/>
          <w:bCs/>
          <w:color w:val="1B3A6B"/>
          <w:sz w:val="24"/>
          <w:szCs w:val="24"/>
        </w:rPr>
        <w:t xml:space="preserve">Section 5.06 — Treasurer</w:t>
      </w:r>
    </w:p>
    <w:p>
      <w:pPr>
        <w:spacing w:after="80" w:before="80"/>
      </w:pPr>
      <w:r>
        <w:rPr>
          <w:rFonts w:ascii="Arial" w:cs="Arial" w:eastAsia="Arial" w:hAnsi="Arial"/>
          <w:sz w:val="22"/>
          <w:szCs w:val="22"/>
        </w:rPr>
        <w:t xml:space="preserve">The Treasurer shall oversee the financial records and fiscal compliance of the Corporation, present financial reports at each Board meeting, ensure annual audits or financial reviews are conducted, co-sign checks above the threshold established by Board resolution, and oversee adherence to the Corporation's financial policies.</w:t>
      </w:r>
    </w:p>
    <w:p>
      <w:pPr>
        <w:pBdr>
          <w:bottom w:val="single" w:color="B8960C" w:sz="2" w:space="1"/>
        </w:pBdr>
        <w:spacing w:after="200" w:before="200"/>
      </w:pPr>
      <w:r>
        <w:t xml:space="preserve"/>
      </w:r>
    </w:p>
    <w:p>
      <w:pPr>
        <w:spacing w:after="160" w:before="300"/>
      </w:pPr>
      <w:r>
        <w:rPr>
          <w:rFonts w:ascii="Arial" w:cs="Arial" w:eastAsia="Arial" w:hAnsi="Arial"/>
          <w:b/>
          <w:bCs/>
          <w:caps/>
          <w:color w:val="1B3A6B"/>
          <w:sz w:val="26"/>
          <w:szCs w:val="26"/>
        </w:rPr>
        <w:t xml:space="preserve">ARTICLE VI — COMMITTEES</w:t>
      </w:r>
    </w:p>
    <w:p>
      <w:pPr>
        <w:spacing w:after="60" w:before="60"/>
      </w:pPr>
      <w:r>
        <w:t xml:space="preserve"/>
      </w:r>
    </w:p>
    <w:p>
      <w:pPr>
        <w:pStyle w:val="Heading2"/>
        <w:spacing w:after="120" w:before="280"/>
      </w:pPr>
      <w:r>
        <w:rPr>
          <w:rFonts w:ascii="Arial" w:cs="Arial" w:eastAsia="Arial" w:hAnsi="Arial"/>
          <w:b/>
          <w:bCs/>
          <w:color w:val="1B3A6B"/>
          <w:sz w:val="24"/>
          <w:szCs w:val="24"/>
        </w:rPr>
        <w:t xml:space="preserve">Section 6.01 — Standing Committees</w:t>
      </w:r>
    </w:p>
    <w:p>
      <w:pPr>
        <w:spacing w:after="80" w:before="80"/>
      </w:pPr>
      <w:r>
        <w:rPr>
          <w:rFonts w:ascii="Arial" w:cs="Arial" w:eastAsia="Arial" w:hAnsi="Arial"/>
          <w:sz w:val="22"/>
          <w:szCs w:val="22"/>
        </w:rPr>
        <w:t xml:space="preserve">The Board shall maintain the following standing committees:</w:t>
      </w:r>
    </w:p>
    <w:p>
      <w:pPr>
        <w:pStyle w:val="ListParagraph"/>
        <w:numPr>
          <w:ilvl w:val="0"/>
          <w:numId w:val="2"/>
        </w:numPr>
        <w:spacing w:after="60" w:before="60"/>
      </w:pPr>
      <w:r>
        <w:rPr>
          <w:rFonts w:ascii="Arial" w:cs="Arial" w:eastAsia="Arial" w:hAnsi="Arial"/>
          <w:sz w:val="22"/>
          <w:szCs w:val="22"/>
        </w:rPr>
        <w:t xml:space="preserve">Executive Committee — Board Chair, Vice Chair, Secretary, Treasurer; may act for the Board between meetings on non-major matters;</w:t>
      </w:r>
    </w:p>
    <w:p>
      <w:pPr>
        <w:pStyle w:val="ListParagraph"/>
        <w:numPr>
          <w:ilvl w:val="0"/>
          <w:numId w:val="2"/>
        </w:numPr>
        <w:spacing w:after="60" w:before="60"/>
      </w:pPr>
      <w:r>
        <w:rPr>
          <w:rFonts w:ascii="Arial" w:cs="Arial" w:eastAsia="Arial" w:hAnsi="Arial"/>
          <w:sz w:val="22"/>
          <w:szCs w:val="22"/>
        </w:rPr>
        <w:t xml:space="preserve">Finance and Audit Committee — Treasurer plus at least two directors; oversees financial controls, annual audit, and investment policy;</w:t>
      </w:r>
    </w:p>
    <w:p>
      <w:pPr>
        <w:pStyle w:val="ListParagraph"/>
        <w:numPr>
          <w:ilvl w:val="0"/>
          <w:numId w:val="2"/>
        </w:numPr>
        <w:spacing w:after="60" w:before="60"/>
      </w:pPr>
      <w:r>
        <w:rPr>
          <w:rFonts w:ascii="Arial" w:cs="Arial" w:eastAsia="Arial" w:hAnsi="Arial"/>
          <w:sz w:val="22"/>
          <w:szCs w:val="22"/>
        </w:rPr>
        <w:t xml:space="preserve">Real Estate and Property Development Committee — oversees all property acquisition, development projects, and asset management;</w:t>
      </w:r>
    </w:p>
    <w:p>
      <w:pPr>
        <w:pStyle w:val="ListParagraph"/>
        <w:numPr>
          <w:ilvl w:val="0"/>
          <w:numId w:val="2"/>
        </w:numPr>
        <w:spacing w:after="60" w:before="60"/>
      </w:pPr>
      <w:r>
        <w:rPr>
          <w:rFonts w:ascii="Arial" w:cs="Arial" w:eastAsia="Arial" w:hAnsi="Arial"/>
          <w:sz w:val="22"/>
          <w:szCs w:val="22"/>
        </w:rPr>
        <w:t xml:space="preserve">Community Impact and Programs Committee — oversees mission delivery, program evaluation, and community engagement;</w:t>
      </w:r>
    </w:p>
    <w:p>
      <w:pPr>
        <w:pStyle w:val="ListParagraph"/>
        <w:numPr>
          <w:ilvl w:val="0"/>
          <w:numId w:val="2"/>
        </w:numPr>
        <w:spacing w:after="60" w:before="60"/>
      </w:pPr>
      <w:r>
        <w:rPr>
          <w:rFonts w:ascii="Arial" w:cs="Arial" w:eastAsia="Arial" w:hAnsi="Arial"/>
          <w:sz w:val="22"/>
          <w:szCs w:val="22"/>
        </w:rPr>
        <w:t xml:space="preserve">Governance and Nominating Committee — identifies board candidates, conducts annual governance review.</w:t>
      </w:r>
    </w:p>
    <w:p>
      <w:pPr>
        <w:spacing w:after="60" w:before="60"/>
      </w:pPr>
      <w:r>
        <w:t xml:space="preserve"/>
      </w:r>
    </w:p>
    <w:p>
      <w:pPr>
        <w:pStyle w:val="Heading2"/>
        <w:spacing w:after="120" w:before="280"/>
      </w:pPr>
      <w:r>
        <w:rPr>
          <w:rFonts w:ascii="Arial" w:cs="Arial" w:eastAsia="Arial" w:hAnsi="Arial"/>
          <w:b/>
          <w:bCs/>
          <w:color w:val="1B3A6B"/>
          <w:sz w:val="24"/>
          <w:szCs w:val="24"/>
        </w:rPr>
        <w:t xml:space="preserve">Section 6.02 — Special Committees</w:t>
      </w:r>
    </w:p>
    <w:p>
      <w:pPr>
        <w:spacing w:after="80" w:before="80"/>
      </w:pPr>
      <w:r>
        <w:rPr>
          <w:rFonts w:ascii="Arial" w:cs="Arial" w:eastAsia="Arial" w:hAnsi="Arial"/>
          <w:sz w:val="22"/>
          <w:szCs w:val="22"/>
        </w:rPr>
        <w:t xml:space="preserve">The Board Chair may establish special or ad hoc committees as needed, with defined scope and sunset provisions. Special committees shall report to the full Board.</w:t>
      </w:r>
    </w:p>
    <w:p>
      <w:pPr>
        <w:spacing w:after="60" w:before="60"/>
      </w:pPr>
      <w:r>
        <w:t xml:space="preserve"/>
      </w:r>
    </w:p>
    <w:p>
      <w:pPr>
        <w:pStyle w:val="Heading2"/>
        <w:spacing w:after="120" w:before="280"/>
      </w:pPr>
      <w:r>
        <w:rPr>
          <w:rFonts w:ascii="Arial" w:cs="Arial" w:eastAsia="Arial" w:hAnsi="Arial"/>
          <w:b/>
          <w:bCs/>
          <w:color w:val="1B3A6B"/>
          <w:sz w:val="24"/>
          <w:szCs w:val="24"/>
        </w:rPr>
        <w:t xml:space="preserve">Section 6.03 — Advisory Council</w:t>
      </w:r>
    </w:p>
    <w:p>
      <w:pPr>
        <w:spacing w:after="80" w:before="80"/>
      </w:pPr>
      <w:r>
        <w:rPr>
          <w:rFonts w:ascii="Arial" w:cs="Arial" w:eastAsia="Arial" w:hAnsi="Arial"/>
          <w:sz w:val="22"/>
          <w:szCs w:val="22"/>
        </w:rPr>
        <w:t xml:space="preserve">The Board may establish an Advisory Council of community leaders, subject matter experts, funders, and strategic partners to advise on mission, community needs, and organizational development. Advisory Council members have no fiduciary authority or voting rights.</w:t>
      </w:r>
    </w:p>
    <w:p>
      <w:pPr>
        <w:pBdr>
          <w:bottom w:val="single" w:color="B8960C" w:sz="2" w:space="1"/>
        </w:pBdr>
        <w:spacing w:after="200" w:before="200"/>
      </w:pPr>
      <w:r>
        <w:t xml:space="preserve"/>
      </w:r>
    </w:p>
    <w:p>
      <w:pPr>
        <w:spacing w:after="160" w:before="300"/>
      </w:pPr>
      <w:r>
        <w:rPr>
          <w:rFonts w:ascii="Arial" w:cs="Arial" w:eastAsia="Arial" w:hAnsi="Arial"/>
          <w:b/>
          <w:bCs/>
          <w:caps/>
          <w:color w:val="1B3A6B"/>
          <w:sz w:val="26"/>
          <w:szCs w:val="26"/>
        </w:rPr>
        <w:t xml:space="preserve">ARTICLE VII — REAL PROPERTY, ASSETS, AND CDC PORTFOLIO</w:t>
      </w:r>
    </w:p>
    <w:p>
      <w:pPr>
        <w:spacing w:after="60" w:before="60"/>
      </w:pPr>
      <w:r>
        <w:t xml:space="preserve"/>
      </w:r>
    </w:p>
    <w:p>
      <w:pPr>
        <w:pStyle w:val="Heading2"/>
        <w:spacing w:after="120" w:before="280"/>
      </w:pPr>
      <w:r>
        <w:rPr>
          <w:rFonts w:ascii="Arial" w:cs="Arial" w:eastAsia="Arial" w:hAnsi="Arial"/>
          <w:b/>
          <w:bCs/>
          <w:color w:val="1B3A6B"/>
          <w:sz w:val="24"/>
          <w:szCs w:val="24"/>
        </w:rPr>
        <w:t xml:space="preserve">Section 7.01 — Authority to Hold Property</w:t>
      </w:r>
    </w:p>
    <w:p>
      <w:pPr>
        <w:spacing w:after="80" w:before="80"/>
      </w:pPr>
      <w:r>
        <w:rPr>
          <w:rFonts w:ascii="Arial" w:cs="Arial" w:eastAsia="Arial" w:hAnsi="Arial"/>
          <w:sz w:val="22"/>
          <w:szCs w:val="22"/>
        </w:rPr>
        <w:t xml:space="preserve">The Corporation is authorized to acquire, hold, mortgage, encumber, sell, transfer, and otherwise deal in real and personal property in furtherance of its charitable and CDC purposes, subject to Board approval as provided herein.</w:t>
      </w:r>
    </w:p>
    <w:p>
      <w:pPr>
        <w:spacing w:after="60" w:before="60"/>
      </w:pPr>
      <w:r>
        <w:t xml:space="preserve"/>
      </w:r>
    </w:p>
    <w:p>
      <w:pPr>
        <w:pStyle w:val="Heading2"/>
        <w:spacing w:after="120" w:before="280"/>
      </w:pPr>
      <w:r>
        <w:rPr>
          <w:rFonts w:ascii="Arial" w:cs="Arial" w:eastAsia="Arial" w:hAnsi="Arial"/>
          <w:b/>
          <w:bCs/>
          <w:color w:val="1B3A6B"/>
          <w:sz w:val="24"/>
          <w:szCs w:val="24"/>
        </w:rPr>
        <w:t xml:space="preserve">Section 7.02 — Board Approval Thresholds for Real Property</w:t>
      </w:r>
    </w:p>
    <w:p>
      <w:pPr>
        <w:spacing w:after="80" w:before="80"/>
      </w:pPr>
      <w:r>
        <w:rPr>
          <w:rFonts w:ascii="Arial" w:cs="Arial" w:eastAsia="Arial" w:hAnsi="Arial"/>
          <w:sz w:val="22"/>
          <w:szCs w:val="22"/>
        </w:rPr>
        <w:t xml:space="preserve">Real property transactions shall require Board approval as follows:</w:t>
      </w:r>
    </w:p>
    <w:p>
      <w:pPr>
        <w:pStyle w:val="ListParagraph"/>
        <w:numPr>
          <w:ilvl w:val="0"/>
          <w:numId w:val="2"/>
        </w:numPr>
        <w:spacing w:after="60" w:before="60"/>
      </w:pPr>
      <w:r>
        <w:rPr>
          <w:rFonts w:ascii="Arial" w:cs="Arial" w:eastAsia="Arial" w:hAnsi="Arial"/>
          <w:sz w:val="22"/>
          <w:szCs w:val="22"/>
        </w:rPr>
        <w:t xml:space="preserve">Acquisition, sale, or disposition of real property: Requires Board approval by two-thirds (2/3) vote;</w:t>
      </w:r>
    </w:p>
    <w:p>
      <w:pPr>
        <w:pStyle w:val="ListParagraph"/>
        <w:numPr>
          <w:ilvl w:val="0"/>
          <w:numId w:val="2"/>
        </w:numPr>
        <w:spacing w:after="60" w:before="60"/>
      </w:pPr>
      <w:r>
        <w:rPr>
          <w:rFonts w:ascii="Arial" w:cs="Arial" w:eastAsia="Arial" w:hAnsi="Arial"/>
          <w:sz w:val="22"/>
          <w:szCs w:val="22"/>
        </w:rPr>
        <w:t xml:space="preserve">Mortgage, lien, or encumbrance of real property: Requires Board approval by majority vote;</w:t>
      </w:r>
    </w:p>
    <w:p>
      <w:pPr>
        <w:pStyle w:val="ListParagraph"/>
        <w:numPr>
          <w:ilvl w:val="0"/>
          <w:numId w:val="2"/>
        </w:numPr>
        <w:spacing w:after="60" w:before="60"/>
      </w:pPr>
      <w:r>
        <w:rPr>
          <w:rFonts w:ascii="Arial" w:cs="Arial" w:eastAsia="Arial" w:hAnsi="Arial"/>
          <w:sz w:val="22"/>
          <w:szCs w:val="22"/>
        </w:rPr>
        <w:t xml:space="preserve">Lease agreements exceeding 12 months in duration: Requires Board approval by majority vote;</w:t>
      </w:r>
    </w:p>
    <w:p>
      <w:pPr>
        <w:pStyle w:val="ListParagraph"/>
        <w:numPr>
          <w:ilvl w:val="0"/>
          <w:numId w:val="2"/>
        </w:numPr>
        <w:spacing w:after="60" w:before="60"/>
      </w:pPr>
      <w:r>
        <w:rPr>
          <w:rFonts w:ascii="Arial" w:cs="Arial" w:eastAsia="Arial" w:hAnsi="Arial"/>
          <w:sz w:val="22"/>
          <w:szCs w:val="22"/>
        </w:rPr>
        <w:t xml:space="preserve">Capital improvements exceeding $50,000 per project: Requires Board approval by majority vote.</w:t>
      </w:r>
    </w:p>
    <w:p>
      <w:pPr>
        <w:spacing w:after="60" w:before="60"/>
      </w:pPr>
      <w:r>
        <w:t xml:space="preserve"/>
      </w:r>
    </w:p>
    <w:p>
      <w:pPr>
        <w:pStyle w:val="Heading2"/>
        <w:spacing w:after="120" w:before="280"/>
      </w:pPr>
      <w:r>
        <w:rPr>
          <w:rFonts w:ascii="Arial" w:cs="Arial" w:eastAsia="Arial" w:hAnsi="Arial"/>
          <w:b/>
          <w:bCs/>
          <w:color w:val="1B3A6B"/>
          <w:sz w:val="24"/>
          <w:szCs w:val="24"/>
        </w:rPr>
        <w:t xml:space="preserve">Section 7.03 — Current Asset Portfolio</w:t>
      </w:r>
    </w:p>
    <w:p>
      <w:pPr>
        <w:spacing w:after="80" w:before="80"/>
      </w:pPr>
      <w:r>
        <w:rPr>
          <w:rFonts w:ascii="Arial" w:cs="Arial" w:eastAsia="Arial" w:hAnsi="Arial"/>
          <w:sz w:val="22"/>
          <w:szCs w:val="22"/>
        </w:rPr>
        <w:t xml:space="preserve">The Corporation's current real property assets for community development purposes include: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Asset</w:t>
            </w:r>
          </w:p>
        </w:tc>
        <w:tc>
          <w:tcPr>
            <w:tcW w:type="dxa" w:w="32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Location / Description</w:t>
            </w:r>
          </w:p>
        </w:tc>
        <w:tc>
          <w:tcPr>
            <w:tcW w:type="dxa" w:w="32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Status / Use</w:t>
            </w:r>
          </w:p>
        </w:tc>
      </w:tr>
      <w:tr>
        <w:tc>
          <w:tcPr>
            <w:tcW w:type="dxa" w:w="28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sz w:val="20"/>
                <w:szCs w:val="20"/>
              </w:rPr>
              <w:t xml:space="preserve">Danville, VA Land Parcel</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Danville, Virginia — 6.75 acres for residential/community development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Development pipeline — transitional housing/community facility</w:t>
            </w:r>
          </w:p>
        </w:tc>
      </w:tr>
      <w:tr>
        <w:tc>
          <w:tcPr>
            <w:tcW w:type="dxa" w:w="28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sz w:val="20"/>
                <w:szCs w:val="20"/>
              </w:rPr>
              <w:t xml:space="preserve">St. Johns, AZ ADU Development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 Johns, Arizona — 2,000-unit ADU development opportunity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Due diligence / partnership structuring phase</w:t>
            </w:r>
          </w:p>
        </w:tc>
      </w:tr>
      <w:tr>
        <w:tc>
          <w:tcPr>
            <w:tcW w:type="dxa" w:w="28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sz w:val="20"/>
                <w:szCs w:val="20"/>
              </w:rPr>
              <w:t xml:space="preserve">Operating Credit Facility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Credit Line / Construction/Bridge Loan — $500K to $1M range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 to be deployed for property acquisition and development capital</w:t>
            </w:r>
          </w:p>
        </w:tc>
      </w:tr>
    </w:tbl>
    <w:p>
      <w:pPr>
        <w:spacing w:after="60" w:before="60"/>
      </w:pPr>
      <w:r>
        <w:t xml:space="preserve"/>
      </w:r>
    </w:p>
    <w:p>
      <w:pPr>
        <w:pStyle w:val="Heading2"/>
        <w:spacing w:after="120" w:before="280"/>
      </w:pPr>
      <w:r>
        <w:rPr>
          <w:rFonts w:ascii="Arial" w:cs="Arial" w:eastAsia="Arial" w:hAnsi="Arial"/>
          <w:b/>
          <w:bCs/>
          <w:color w:val="1B3A6B"/>
          <w:sz w:val="24"/>
          <w:szCs w:val="24"/>
        </w:rPr>
        <w:t xml:space="preserve">Section 7.04 — Real Estate Enterprise Trust</w:t>
      </w:r>
    </w:p>
    <w:p>
      <w:pPr>
        <w:spacing w:after="80" w:before="80"/>
      </w:pPr>
      <w:r>
        <w:rPr>
          <w:rFonts w:ascii="Arial" w:cs="Arial" w:eastAsia="Arial" w:hAnsi="Arial"/>
          <w:sz w:val="22"/>
          <w:szCs w:val="22"/>
        </w:rPr>
        <w:t xml:space="preserve">The Board may establish, maintain, or participate in a Real Estate Enterprise Trust or similar vehicle for the purpose of holding, managing, or developing real property assets on behalf of the Corporation. The terms of any such trust shall be approved by two-thirds (2/3) vote of the Board and shall at all times remain subordinate to the Corporation's charitable mission and 501(c)(3) restrictions.</w:t>
      </w:r>
    </w:p>
    <w:p>
      <w:pPr>
        <w:spacing w:after="60" w:before="60"/>
      </w:pPr>
      <w:r>
        <w:t xml:space="preserve"/>
      </w:r>
    </w:p>
    <w:p>
      <w:pPr>
        <w:pStyle w:val="Heading2"/>
        <w:spacing w:after="120" w:before="280"/>
      </w:pPr>
      <w:r>
        <w:rPr>
          <w:rFonts w:ascii="Arial" w:cs="Arial" w:eastAsia="Arial" w:hAnsi="Arial"/>
          <w:b/>
          <w:bCs/>
          <w:color w:val="1B3A6B"/>
          <w:sz w:val="24"/>
          <w:szCs w:val="24"/>
        </w:rPr>
        <w:t xml:space="preserve">Section 7.05 — Subsidiaries and Development Entities</w:t>
      </w:r>
    </w:p>
    <w:p>
      <w:pPr>
        <w:spacing w:after="80" w:before="80"/>
      </w:pPr>
      <w:r>
        <w:rPr>
          <w:rFonts w:ascii="Arial" w:cs="Arial" w:eastAsia="Arial" w:hAnsi="Arial"/>
          <w:sz w:val="22"/>
          <w:szCs w:val="22"/>
        </w:rPr>
        <w:t xml:space="preserve">The Corporation may form, participate in, or invest in subsidiary corporations, limited liability companies, limited partnerships, or joint ventures for the purpose of developing specific housing or community development projects. Any such formation or investment shall require two-thirds (2/3) Board approval, shall be documented with appropriate legal agreements, and shall not jeopardize the Corporation's tax-exempt status.</w:t>
      </w:r>
    </w:p>
    <w:p>
      <w:pPr>
        <w:spacing w:after="60" w:before="60"/>
      </w:pPr>
      <w:r>
        <w:t xml:space="preserve"/>
      </w:r>
    </w:p>
    <w:p>
      <w:pPr>
        <w:pStyle w:val="Heading2"/>
        <w:spacing w:after="120" w:before="280"/>
      </w:pPr>
      <w:r>
        <w:rPr>
          <w:rFonts w:ascii="Arial" w:cs="Arial" w:eastAsia="Arial" w:hAnsi="Arial"/>
          <w:b/>
          <w:bCs/>
          <w:color w:val="1B3A6B"/>
          <w:sz w:val="24"/>
          <w:szCs w:val="24"/>
        </w:rPr>
        <w:t xml:space="preserve">Section 7.06 — Prohibited Transactions</w:t>
      </w:r>
    </w:p>
    <w:p>
      <w:pPr>
        <w:spacing w:after="80" w:before="80"/>
      </w:pPr>
      <w:r>
        <w:rPr>
          <w:rFonts w:ascii="Arial" w:cs="Arial" w:eastAsia="Arial" w:hAnsi="Arial"/>
          <w:sz w:val="22"/>
          <w:szCs w:val="22"/>
        </w:rPr>
        <w:t xml:space="preserve">No real property or corporate assets shall be used to benefit, directly or indirectly, any director, officer, employee, or related party except through fair-market transactions disclosed to and approved by the Board. All self-dealing transactions are prohibited under IRS Section 4941 and shall be immediately reported to the Board's legal counsel.</w:t>
      </w:r>
    </w:p>
    <w:p>
      <w:pPr>
        <w:pBdr>
          <w:bottom w:val="single" w:color="B8960C" w:sz="2" w:space="1"/>
        </w:pBdr>
        <w:spacing w:after="200" w:before="200"/>
      </w:pPr>
      <w:r>
        <w:t xml:space="preserve"/>
      </w:r>
    </w:p>
    <w:p>
      <w:pPr>
        <w:spacing w:after="160" w:before="300"/>
      </w:pPr>
      <w:r>
        <w:rPr>
          <w:rFonts w:ascii="Arial" w:cs="Arial" w:eastAsia="Arial" w:hAnsi="Arial"/>
          <w:b/>
          <w:bCs/>
          <w:caps/>
          <w:color w:val="1B3A6B"/>
          <w:sz w:val="26"/>
          <w:szCs w:val="26"/>
        </w:rPr>
        <w:t xml:space="preserve">ARTICLE VIII — FINANCIAL MANAGEMENT AND CONTROLS</w:t>
      </w:r>
    </w:p>
    <w:p>
      <w:pPr>
        <w:spacing w:after="60" w:before="60"/>
      </w:pPr>
      <w:r>
        <w:t xml:space="preserve"/>
      </w:r>
    </w:p>
    <w:p>
      <w:pPr>
        <w:pStyle w:val="Heading2"/>
        <w:spacing w:after="120" w:before="280"/>
      </w:pPr>
      <w:r>
        <w:rPr>
          <w:rFonts w:ascii="Arial" w:cs="Arial" w:eastAsia="Arial" w:hAnsi="Arial"/>
          <w:b/>
          <w:bCs/>
          <w:color w:val="1B3A6B"/>
          <w:sz w:val="24"/>
          <w:szCs w:val="24"/>
        </w:rPr>
        <w:t xml:space="preserve">Section 8.01 — Fiscal Year</w:t>
      </w:r>
    </w:p>
    <w:p>
      <w:pPr>
        <w:spacing w:after="80" w:before="80"/>
      </w:pPr>
      <w:r>
        <w:rPr>
          <w:rFonts w:ascii="Arial" w:cs="Arial" w:eastAsia="Arial" w:hAnsi="Arial"/>
          <w:sz w:val="22"/>
          <w:szCs w:val="22"/>
        </w:rPr>
        <w:t xml:space="preserve">The fiscal year of the Corporation shall begin on January 1 and end on December 31 of each calendar year.</w:t>
      </w:r>
    </w:p>
    <w:p>
      <w:pPr>
        <w:spacing w:after="60" w:before="60"/>
      </w:pPr>
      <w:r>
        <w:t xml:space="preserve"/>
      </w:r>
    </w:p>
    <w:p>
      <w:pPr>
        <w:pStyle w:val="Heading2"/>
        <w:spacing w:after="120" w:before="280"/>
      </w:pPr>
      <w:r>
        <w:rPr>
          <w:rFonts w:ascii="Arial" w:cs="Arial" w:eastAsia="Arial" w:hAnsi="Arial"/>
          <w:b/>
          <w:bCs/>
          <w:color w:val="1B3A6B"/>
          <w:sz w:val="24"/>
          <w:szCs w:val="24"/>
        </w:rPr>
        <w:t xml:space="preserve">Section 8.02 — Budget</w:t>
      </w:r>
    </w:p>
    <w:p>
      <w:pPr>
        <w:spacing w:after="80" w:before="80"/>
      </w:pPr>
      <w:r>
        <w:rPr>
          <w:rFonts w:ascii="Arial" w:cs="Arial" w:eastAsia="Arial" w:hAnsi="Arial"/>
          <w:sz w:val="22"/>
          <w:szCs w:val="22"/>
        </w:rPr>
        <w:t xml:space="preserve">The Board shall approve an annual operating budget prior to the start of each fiscal year. Material budget variances (exceeding 10% in any category) shall be reported to the Finance Committee and approved by the Board.</w:t>
      </w:r>
    </w:p>
    <w:p>
      <w:pPr>
        <w:spacing w:after="60" w:before="60"/>
      </w:pPr>
      <w:r>
        <w:t xml:space="preserve"/>
      </w:r>
    </w:p>
    <w:p>
      <w:pPr>
        <w:pStyle w:val="Heading2"/>
        <w:spacing w:after="120" w:before="280"/>
      </w:pPr>
      <w:r>
        <w:rPr>
          <w:rFonts w:ascii="Arial" w:cs="Arial" w:eastAsia="Arial" w:hAnsi="Arial"/>
          <w:b/>
          <w:bCs/>
          <w:color w:val="1B3A6B"/>
          <w:sz w:val="24"/>
          <w:szCs w:val="24"/>
        </w:rPr>
        <w:t xml:space="preserve">Section 8.03 — Signatory Authority</w:t>
      </w:r>
    </w:p>
    <w:p>
      <w:pPr>
        <w:spacing w:after="80" w:before="80"/>
      </w:pPr>
      <w:r>
        <w:rPr>
          <w:rFonts w:ascii="Arial" w:cs="Arial" w:eastAsia="Arial" w:hAnsi="Arial"/>
          <w:sz w:val="22"/>
          <w:szCs w:val="22"/>
        </w:rPr>
        <w:t xml:space="preserve">Checks, drafts, or orders for payment of money shall require the signature of the Executive Director for amounts up to $5,000. Amounts from $5,001 to $25,000 require co-signature of the Treasurer or Board Chair. Amounts exceeding $25,000 require Board approval plus two authorized signatures.</w:t>
      </w:r>
    </w:p>
    <w:p>
      <w:pPr>
        <w:spacing w:after="60" w:before="60"/>
      </w:pPr>
      <w:r>
        <w:t xml:space="preserve"/>
      </w:r>
    </w:p>
    <w:p>
      <w:pPr>
        <w:pStyle w:val="Heading2"/>
        <w:spacing w:after="120" w:before="280"/>
      </w:pPr>
      <w:r>
        <w:rPr>
          <w:rFonts w:ascii="Arial" w:cs="Arial" w:eastAsia="Arial" w:hAnsi="Arial"/>
          <w:b/>
          <w:bCs/>
          <w:color w:val="1B3A6B"/>
          <w:sz w:val="24"/>
          <w:szCs w:val="24"/>
        </w:rPr>
        <w:t xml:space="preserve">Section 8.04 — Audit and Financial Review</w:t>
      </w:r>
    </w:p>
    <w:p>
      <w:pPr>
        <w:spacing w:after="80" w:before="80"/>
      </w:pPr>
      <w:r>
        <w:rPr>
          <w:rFonts w:ascii="Arial" w:cs="Arial" w:eastAsia="Arial" w:hAnsi="Arial"/>
          <w:sz w:val="22"/>
          <w:szCs w:val="22"/>
        </w:rPr>
        <w:t xml:space="preserve">The Corporation shall obtain an annual independent audit when annual gross revenues exceed $500,000. For revenues below that threshold, an annual financial review by a Certified Public Accountant shall be obtained. All financial reports shall be presented to the full Board at the annual meeting.</w:t>
      </w:r>
    </w:p>
    <w:p>
      <w:pPr>
        <w:spacing w:after="60" w:before="60"/>
      </w:pPr>
      <w:r>
        <w:t xml:space="preserve"/>
      </w:r>
    </w:p>
    <w:p>
      <w:pPr>
        <w:pStyle w:val="Heading2"/>
        <w:spacing w:after="120" w:before="280"/>
      </w:pPr>
      <w:r>
        <w:rPr>
          <w:rFonts w:ascii="Arial" w:cs="Arial" w:eastAsia="Arial" w:hAnsi="Arial"/>
          <w:b/>
          <w:bCs/>
          <w:color w:val="1B3A6B"/>
          <w:sz w:val="24"/>
          <w:szCs w:val="24"/>
        </w:rPr>
        <w:t xml:space="preserve">Section 8.05 — Conflict of Interest — Financial Transactions</w:t>
      </w:r>
    </w:p>
    <w:p>
      <w:pPr>
        <w:spacing w:after="80" w:before="80"/>
      </w:pPr>
      <w:r>
        <w:rPr>
          <w:rFonts w:ascii="Arial" w:cs="Arial" w:eastAsia="Arial" w:hAnsi="Arial"/>
          <w:sz w:val="22"/>
          <w:szCs w:val="22"/>
        </w:rPr>
        <w:t xml:space="preserve">All financial transactions involving a director, officer, key employee, or their family members or affiliated entities shall be disclosed to the Board, and the interested party shall recuse themselves from the vote. The transaction shall only be approved if determined to be fair market value and in the best interest of the Corporation.</w:t>
      </w:r>
    </w:p>
    <w:p>
      <w:pPr>
        <w:spacing w:after="60" w:before="60"/>
      </w:pPr>
      <w:r>
        <w:t xml:space="preserve"/>
      </w:r>
    </w:p>
    <w:p>
      <w:pPr>
        <w:pStyle w:val="Heading2"/>
        <w:spacing w:after="120" w:before="280"/>
      </w:pPr>
      <w:r>
        <w:rPr>
          <w:rFonts w:ascii="Arial" w:cs="Arial" w:eastAsia="Arial" w:hAnsi="Arial"/>
          <w:b/>
          <w:bCs/>
          <w:color w:val="1B3A6B"/>
          <w:sz w:val="24"/>
          <w:szCs w:val="24"/>
        </w:rPr>
        <w:t xml:space="preserve">Section 8.06 — Credit Facilities and Debt</w:t>
      </w:r>
    </w:p>
    <w:p>
      <w:pPr>
        <w:spacing w:after="80" w:before="80"/>
      </w:pPr>
      <w:r>
        <w:rPr>
          <w:rFonts w:ascii="Arial" w:cs="Arial" w:eastAsia="Arial" w:hAnsi="Arial"/>
          <w:sz w:val="22"/>
          <w:szCs w:val="22"/>
        </w:rPr>
        <w:t xml:space="preserve">The Board may authorize the Corporation to borrow money, incur debt, issue notes, and secure obligations by mortgage or pledge of Corporation assets. All borrowings exceeding $50,000 shall require Board approval by majority vote. Borrowings exceeding $250,000 shall require Board approval by two-thirds (2/3) vote.</w:t>
      </w:r>
    </w:p>
    <w:p>
      <w:pPr>
        <w:pBdr>
          <w:bottom w:val="single" w:color="B8960C" w:sz="2" w:space="1"/>
        </w:pBdr>
        <w:spacing w:after="200" w:before="200"/>
      </w:pPr>
      <w:r>
        <w:t xml:space="preserve"/>
      </w:r>
    </w:p>
    <w:p>
      <w:pPr>
        <w:spacing w:after="160" w:before="300"/>
      </w:pPr>
      <w:r>
        <w:rPr>
          <w:rFonts w:ascii="Arial" w:cs="Arial" w:eastAsia="Arial" w:hAnsi="Arial"/>
          <w:b/>
          <w:bCs/>
          <w:caps/>
          <w:color w:val="1B3A6B"/>
          <w:sz w:val="26"/>
          <w:szCs w:val="26"/>
        </w:rPr>
        <w:t xml:space="preserve">ARTICLE IX — CONFLICT OF INTEREST POLICY</w:t>
      </w:r>
    </w:p>
    <w:p>
      <w:pPr>
        <w:spacing w:after="60" w:before="60"/>
      </w:pPr>
      <w:r>
        <w:t xml:space="preserve"/>
      </w:r>
    </w:p>
    <w:p>
      <w:pPr>
        <w:pStyle w:val="Heading2"/>
        <w:spacing w:after="120" w:before="280"/>
      </w:pPr>
      <w:r>
        <w:rPr>
          <w:rFonts w:ascii="Arial" w:cs="Arial" w:eastAsia="Arial" w:hAnsi="Arial"/>
          <w:b/>
          <w:bCs/>
          <w:color w:val="1B3A6B"/>
          <w:sz w:val="24"/>
          <w:szCs w:val="24"/>
        </w:rPr>
        <w:t xml:space="preserve">Section 9.01 — Policy</w:t>
      </w:r>
    </w:p>
    <w:p>
      <w:pPr>
        <w:spacing w:after="80" w:before="80"/>
      </w:pPr>
      <w:r>
        <w:rPr>
          <w:rFonts w:ascii="Arial" w:cs="Arial" w:eastAsia="Arial" w:hAnsi="Arial"/>
          <w:sz w:val="22"/>
          <w:szCs w:val="22"/>
        </w:rPr>
        <w:t xml:space="preserve">The Corporation shall maintain a written Conflict of Interest Policy compliant with IRS Form 990 requirements and North Carolina nonprofit law. All directors, officers, and key employees shall annually sign a Conflict of Interest Disclosure Statement.</w:t>
      </w:r>
    </w:p>
    <w:p>
      <w:pPr>
        <w:spacing w:after="60" w:before="60"/>
      </w:pPr>
      <w:r>
        <w:t xml:space="preserve"/>
      </w:r>
    </w:p>
    <w:p>
      <w:pPr>
        <w:pStyle w:val="Heading2"/>
        <w:spacing w:after="120" w:before="280"/>
      </w:pPr>
      <w:r>
        <w:rPr>
          <w:rFonts w:ascii="Arial" w:cs="Arial" w:eastAsia="Arial" w:hAnsi="Arial"/>
          <w:b/>
          <w:bCs/>
          <w:color w:val="1B3A6B"/>
          <w:sz w:val="24"/>
          <w:szCs w:val="24"/>
        </w:rPr>
        <w:t xml:space="preserve">Section 9.02 — Disclosure and Recusal</w:t>
      </w:r>
    </w:p>
    <w:p>
      <w:pPr>
        <w:spacing w:after="80" w:before="80"/>
      </w:pPr>
      <w:r>
        <w:rPr>
          <w:rFonts w:ascii="Arial" w:cs="Arial" w:eastAsia="Arial" w:hAnsi="Arial"/>
          <w:sz w:val="22"/>
          <w:szCs w:val="22"/>
        </w:rPr>
        <w:t xml:space="preserve">Any director, officer, or committee member who has a financial or personal interest in any matter before the Board shall (a) promptly disclose such interest, (b) not participate in deliberations, (c) not vote on the matter, and (d) not be counted for quorum purposes on that matter.</w:t>
      </w:r>
    </w:p>
    <w:p>
      <w:pPr>
        <w:spacing w:after="60" w:before="60"/>
      </w:pPr>
      <w:r>
        <w:t xml:space="preserve"/>
      </w:r>
    </w:p>
    <w:p>
      <w:pPr>
        <w:pStyle w:val="Heading2"/>
        <w:spacing w:after="120" w:before="280"/>
      </w:pPr>
      <w:r>
        <w:rPr>
          <w:rFonts w:ascii="Arial" w:cs="Arial" w:eastAsia="Arial" w:hAnsi="Arial"/>
          <w:b/>
          <w:bCs/>
          <w:color w:val="1B3A6B"/>
          <w:sz w:val="24"/>
          <w:szCs w:val="24"/>
        </w:rPr>
        <w:t xml:space="preserve">Section 9.03 — Documentation</w:t>
      </w:r>
    </w:p>
    <w:p>
      <w:pPr>
        <w:spacing w:after="80" w:before="80"/>
      </w:pPr>
      <w:r>
        <w:rPr>
          <w:rFonts w:ascii="Arial" w:cs="Arial" w:eastAsia="Arial" w:hAnsi="Arial"/>
          <w:sz w:val="22"/>
          <w:szCs w:val="22"/>
        </w:rPr>
        <w:t xml:space="preserve">All conflict of interest matters considered by the Board shall be documented in the meeting minutes, including the disclosure, the recusal, and the Board's determination of whether the transaction serves the Corporation's interest.</w:t>
      </w:r>
    </w:p>
    <w:p>
      <w:pPr>
        <w:pBdr>
          <w:bottom w:val="single" w:color="B8960C" w:sz="2" w:space="1"/>
        </w:pBdr>
        <w:spacing w:after="200" w:before="200"/>
      </w:pPr>
      <w:r>
        <w:t xml:space="preserve"/>
      </w:r>
    </w:p>
    <w:p>
      <w:pPr>
        <w:spacing w:after="160" w:before="300"/>
      </w:pPr>
      <w:r>
        <w:rPr>
          <w:rFonts w:ascii="Arial" w:cs="Arial" w:eastAsia="Arial" w:hAnsi="Arial"/>
          <w:b/>
          <w:bCs/>
          <w:caps/>
          <w:color w:val="1B3A6B"/>
          <w:sz w:val="26"/>
          <w:szCs w:val="26"/>
        </w:rPr>
        <w:t xml:space="preserve">ARTICLE X — INDEMNIFICATION AND INSURANCE</w:t>
      </w:r>
    </w:p>
    <w:p>
      <w:pPr>
        <w:spacing w:after="60" w:before="60"/>
      </w:pPr>
      <w:r>
        <w:t xml:space="preserve"/>
      </w:r>
    </w:p>
    <w:p>
      <w:pPr>
        <w:pStyle w:val="Heading2"/>
        <w:spacing w:after="120" w:before="280"/>
      </w:pPr>
      <w:r>
        <w:rPr>
          <w:rFonts w:ascii="Arial" w:cs="Arial" w:eastAsia="Arial" w:hAnsi="Arial"/>
          <w:b/>
          <w:bCs/>
          <w:color w:val="1B3A6B"/>
          <w:sz w:val="24"/>
          <w:szCs w:val="24"/>
        </w:rPr>
        <w:t xml:space="preserve">Section 10.01 — Indemnification</w:t>
      </w:r>
    </w:p>
    <w:p>
      <w:pPr>
        <w:spacing w:after="80" w:before="80"/>
      </w:pPr>
      <w:r>
        <w:rPr>
          <w:rFonts w:ascii="Arial" w:cs="Arial" w:eastAsia="Arial" w:hAnsi="Arial"/>
          <w:sz w:val="22"/>
          <w:szCs w:val="22"/>
        </w:rPr>
        <w:t xml:space="preserve">The Corporation shall indemnify any director, officer, employee, or agent of the Corporation to the fullest extent permitted by North Carolina law, against expenses, judgments, settlements, fines, and amounts paid in connection with any proceeding arising from their service in that capacity, provided such person acted in good faith and in a manner reasonably believed to be in the best interests of the Corporation.</w:t>
      </w:r>
    </w:p>
    <w:p>
      <w:pPr>
        <w:spacing w:after="60" w:before="60"/>
      </w:pPr>
      <w:r>
        <w:t xml:space="preserve"/>
      </w:r>
    </w:p>
    <w:p>
      <w:pPr>
        <w:pStyle w:val="Heading2"/>
        <w:spacing w:after="120" w:before="280"/>
      </w:pPr>
      <w:r>
        <w:rPr>
          <w:rFonts w:ascii="Arial" w:cs="Arial" w:eastAsia="Arial" w:hAnsi="Arial"/>
          <w:b/>
          <w:bCs/>
          <w:color w:val="1B3A6B"/>
          <w:sz w:val="24"/>
          <w:szCs w:val="24"/>
        </w:rPr>
        <w:t xml:space="preserve">Section 10.02 — Insurance</w:t>
      </w:r>
    </w:p>
    <w:p>
      <w:pPr>
        <w:spacing w:after="80" w:before="80"/>
      </w:pPr>
      <w:r>
        <w:rPr>
          <w:rFonts w:ascii="Arial" w:cs="Arial" w:eastAsia="Arial" w:hAnsi="Arial"/>
          <w:sz w:val="22"/>
          <w:szCs w:val="22"/>
        </w:rPr>
        <w:t xml:space="preserve">The Corporation shall obtain and maintain directors and officers (D&amp;O) liability insurance, general liability insurance, property insurance, and such other coverage as the Board determines appropriate, including coverage for real estate development activities.</w:t>
      </w:r>
    </w:p>
    <w:p>
      <w:pPr>
        <w:pBdr>
          <w:bottom w:val="single" w:color="B8960C" w:sz="2" w:space="1"/>
        </w:pBdr>
        <w:spacing w:after="200" w:before="200"/>
      </w:pPr>
      <w:r>
        <w:t xml:space="preserve"/>
      </w:r>
    </w:p>
    <w:p>
      <w:pPr>
        <w:spacing w:after="160" w:before="300"/>
      </w:pPr>
      <w:r>
        <w:rPr>
          <w:rFonts w:ascii="Arial" w:cs="Arial" w:eastAsia="Arial" w:hAnsi="Arial"/>
          <w:b/>
          <w:bCs/>
          <w:caps/>
          <w:color w:val="1B3A6B"/>
          <w:sz w:val="26"/>
          <w:szCs w:val="26"/>
        </w:rPr>
        <w:t xml:space="preserve">ARTICLE XI — AMENDMENTS</w:t>
      </w:r>
    </w:p>
    <w:p>
      <w:pPr>
        <w:spacing w:after="60" w:before="60"/>
      </w:pPr>
      <w:r>
        <w:t xml:space="preserve"/>
      </w:r>
    </w:p>
    <w:p>
      <w:pPr>
        <w:pStyle w:val="Heading2"/>
        <w:spacing w:after="120" w:before="280"/>
      </w:pPr>
      <w:r>
        <w:rPr>
          <w:rFonts w:ascii="Arial" w:cs="Arial" w:eastAsia="Arial" w:hAnsi="Arial"/>
          <w:b/>
          <w:bCs/>
          <w:color w:val="1B3A6B"/>
          <w:sz w:val="24"/>
          <w:szCs w:val="24"/>
        </w:rPr>
        <w:t xml:space="preserve">Section 11.01 — Amendment of Bylaws</w:t>
      </w:r>
    </w:p>
    <w:p>
      <w:pPr>
        <w:spacing w:after="80" w:before="80"/>
      </w:pPr>
      <w:r>
        <w:rPr>
          <w:rFonts w:ascii="Arial" w:cs="Arial" w:eastAsia="Arial" w:hAnsi="Arial"/>
          <w:sz w:val="22"/>
          <w:szCs w:val="22"/>
        </w:rPr>
        <w:t xml:space="preserve">These Bylaws may be amended by a two-thirds (2/3) vote of the full Board at any regular or special meeting, provided that: (a) notice of the proposed amendment(s) was included with the meeting notice delivered not fewer than fourteen (14) days prior to the meeting, and (b) the amendment does not conflict with the Articles of Incorporation or applicable law.</w:t>
      </w:r>
    </w:p>
    <w:p>
      <w:pPr>
        <w:spacing w:after="60" w:before="60"/>
      </w:pPr>
      <w:r>
        <w:t xml:space="preserve"/>
      </w:r>
    </w:p>
    <w:p>
      <w:pPr>
        <w:pStyle w:val="Heading2"/>
        <w:spacing w:after="120" w:before="280"/>
      </w:pPr>
      <w:r>
        <w:rPr>
          <w:rFonts w:ascii="Arial" w:cs="Arial" w:eastAsia="Arial" w:hAnsi="Arial"/>
          <w:b/>
          <w:bCs/>
          <w:color w:val="1B3A6B"/>
          <w:sz w:val="24"/>
          <w:szCs w:val="24"/>
        </w:rPr>
        <w:t xml:space="preserve">Section 11.02 — Limitations on Amendment</w:t>
      </w:r>
    </w:p>
    <w:p>
      <w:pPr>
        <w:spacing w:after="80" w:before="80"/>
      </w:pPr>
      <w:r>
        <w:rPr>
          <w:rFonts w:ascii="Arial" w:cs="Arial" w:eastAsia="Arial" w:hAnsi="Arial"/>
          <w:sz w:val="22"/>
          <w:szCs w:val="22"/>
        </w:rPr>
        <w:t xml:space="preserve">No amendment shall be made that would: (a) permit any private inurement of the Corporation's net earnings; (b) permit activities inconsistent with the Corporation's 501(c)(3) status; (c) alter the dissolution distribution provisions in a manner inconsistent with the Articles of Incorporation.</w:t>
      </w:r>
    </w:p>
    <w:p>
      <w:pPr>
        <w:pBdr>
          <w:bottom w:val="single" w:color="B8960C" w:sz="2" w:space="1"/>
        </w:pBdr>
        <w:spacing w:after="200" w:before="200"/>
      </w:pPr>
      <w:r>
        <w:t xml:space="preserve"/>
      </w:r>
    </w:p>
    <w:p>
      <w:pPr>
        <w:spacing w:after="160" w:before="300"/>
      </w:pPr>
      <w:r>
        <w:rPr>
          <w:rFonts w:ascii="Arial" w:cs="Arial" w:eastAsia="Arial" w:hAnsi="Arial"/>
          <w:b/>
          <w:bCs/>
          <w:caps/>
          <w:color w:val="1B3A6B"/>
          <w:sz w:val="26"/>
          <w:szCs w:val="26"/>
        </w:rPr>
        <w:t xml:space="preserve">ARTICLE XII — DISSOLUTION</w:t>
      </w:r>
    </w:p>
    <w:p>
      <w:pPr>
        <w:spacing w:after="60" w:before="60"/>
      </w:pPr>
      <w:r>
        <w:t xml:space="preserve"/>
      </w:r>
    </w:p>
    <w:p>
      <w:pPr>
        <w:pStyle w:val="Heading2"/>
        <w:spacing w:after="120" w:before="280"/>
      </w:pPr>
      <w:r>
        <w:rPr>
          <w:rFonts w:ascii="Arial" w:cs="Arial" w:eastAsia="Arial" w:hAnsi="Arial"/>
          <w:b/>
          <w:bCs/>
          <w:color w:val="1B3A6B"/>
          <w:sz w:val="24"/>
          <w:szCs w:val="24"/>
        </w:rPr>
        <w:t xml:space="preserve">Section 12.01 — Dissolution Procedure</w:t>
      </w:r>
    </w:p>
    <w:p>
      <w:pPr>
        <w:spacing w:after="80" w:before="80"/>
      </w:pPr>
      <w:r>
        <w:rPr>
          <w:rFonts w:ascii="Arial" w:cs="Arial" w:eastAsia="Arial" w:hAnsi="Arial"/>
          <w:sz w:val="22"/>
          <w:szCs w:val="22"/>
        </w:rPr>
        <w:t xml:space="preserve">The Corporation may be dissolved upon the affirmative vote of two-thirds (2/3) of the Board, followed by compliance with all applicable state and federal dissolution requirements. Upon dissolution, after payment of all debts and liabilities, remaining assets shall be distributed exclusively to one or more organizations exempt under Section 501(c)(3) of the Internal Revenue Code, or to federal, state, or local governments for public purposes, consistent with the Corporation's Articles of Incorporation.</w:t>
      </w:r>
    </w:p>
    <w:p>
      <w:pPr>
        <w:pBdr>
          <w:bottom w:val="single" w:color="B8960C" w:sz="2" w:space="1"/>
        </w:pBdr>
        <w:spacing w:after="200" w:before="200"/>
      </w:pPr>
      <w:r>
        <w:t xml:space="preserve"/>
      </w:r>
    </w:p>
    <w:p>
      <w:pPr>
        <w:spacing w:after="160" w:before="300"/>
      </w:pPr>
      <w:r>
        <w:rPr>
          <w:rFonts w:ascii="Arial" w:cs="Arial" w:eastAsia="Arial" w:hAnsi="Arial"/>
          <w:b/>
          <w:bCs/>
          <w:caps/>
          <w:color w:val="1B3A6B"/>
          <w:sz w:val="26"/>
          <w:szCs w:val="26"/>
        </w:rPr>
        <w:t xml:space="preserve">ARTICLE XIII — PARLIAMENTARY AUTHORITY</w:t>
      </w:r>
    </w:p>
    <w:p>
      <w:pPr>
        <w:spacing w:after="60" w:before="60"/>
      </w:pPr>
      <w:r>
        <w:t xml:space="preserve"/>
      </w:r>
    </w:p>
    <w:p>
      <w:pPr>
        <w:spacing w:after="80" w:before="80"/>
      </w:pPr>
      <w:r>
        <w:rPr>
          <w:rFonts w:ascii="Arial" w:cs="Arial" w:eastAsia="Arial" w:hAnsi="Arial"/>
          <w:sz w:val="22"/>
          <w:szCs w:val="22"/>
        </w:rPr>
        <w:t xml:space="preserve">The rules contained in Robert's Rules of Order, Newly Revised shall govern the Corporation in all cases where applicable and consistent with these Bylaws and any special rules of order adopted by the Board.</w:t>
      </w:r>
    </w:p>
    <w:p>
      <w:pPr>
        <w:pBdr>
          <w:bottom w:val="single" w:color="B8960C" w:sz="2" w:space="1"/>
        </w:pBdr>
        <w:spacing w:after="200" w:before="200"/>
      </w:pPr>
      <w:r>
        <w:t xml:space="preserve"/>
      </w:r>
    </w:p>
    <w:p>
      <w:pPr>
        <w:spacing w:after="200" w:before="400"/>
        <w:jc w:val="center"/>
      </w:pPr>
      <w:r>
        <w:rPr>
          <w:rFonts w:ascii="Arial" w:cs="Arial" w:eastAsia="Arial" w:hAnsi="Arial"/>
          <w:b/>
          <w:bCs/>
          <w:caps/>
          <w:color w:val="1B3A6B"/>
          <w:sz w:val="28"/>
          <w:szCs w:val="28"/>
        </w:rPr>
        <w:t xml:space="preserve">CERTIFICATION OF ADOPTION</w:t>
      </w:r>
    </w:p>
    <w:p>
      <w:pPr>
        <w:spacing w:after="80" w:before="80"/>
      </w:pPr>
      <w:r>
        <w:rPr>
          <w:rFonts w:ascii="Arial" w:cs="Arial" w:eastAsia="Arial" w:hAnsi="Arial"/>
          <w:sz w:val="22"/>
          <w:szCs w:val="22"/>
        </w:rPr>
        <w:t xml:space="preserve">These Bylaws were adopted by the Board of Directors of God's Name We Serve Humanity, Inc. at a duly convened meeting of the Board of Directors.</w:t>
      </w:r>
    </w:p>
    <w:p>
      <w:pPr>
        <w:spacing w:after="60" w:before="60"/>
      </w:pPr>
      <w:r>
        <w:t xml:space="preserve"/>
      </w:r>
    </w:p>
    <w:p>
      <w:pPr>
        <w:spacing w:after="60" w:before="60"/>
      </w:pPr>
      <w:r>
        <w:t xml:space="preserve"/>
      </w:r>
    </w:p>
    <w:p>
      <w:pPr>
        <w:spacing w:after="80" w:before="80"/>
      </w:pPr>
      <w:r>
        <w:rPr>
          <w:rFonts w:ascii="Arial" w:cs="Arial" w:eastAsia="Arial" w:hAnsi="Arial"/>
          <w:sz w:val="22"/>
          <w:szCs w:val="22"/>
        </w:rPr>
        <w:t xml:space="preserve">Date of Adoption: ________________________</w:t>
      </w:r>
    </w:p>
    <w:p>
      <w:pPr>
        <w:spacing w:after="60" w:before="60"/>
      </w:pPr>
      <w:r>
        <w:t xml:space="preserve"/>
      </w:r>
    </w:p>
    <w:p>
      <w:pPr>
        <w:spacing w:after="60" w:before="60"/>
      </w:pPr>
      <w:r>
        <w:t xml:space="preserve"/>
      </w:r>
    </w:p>
    <w:p>
      <w:pPr>
        <w:spacing w:after="80" w:before="80"/>
      </w:pPr>
      <w:r>
        <w:rPr>
          <w:rFonts w:ascii="Arial" w:cs="Arial" w:eastAsia="Arial" w:hAnsi="Arial"/>
          <w:sz w:val="22"/>
          <w:szCs w:val="22"/>
        </w:rPr>
        <w:t xml:space="preserve">_____________________________________________</w:t>
      </w:r>
    </w:p>
    <w:p>
      <w:pPr>
        <w:spacing w:after="80" w:before="80"/>
      </w:pPr>
      <w:r>
        <w:rPr>
          <w:rFonts w:ascii="Arial" w:cs="Arial" w:eastAsia="Arial" w:hAnsi="Arial"/>
          <w:sz w:val="22"/>
          <w:szCs w:val="22"/>
        </w:rPr>
        <w:t xml:space="preserve">Board Chair, Signature</w:t>
      </w:r>
    </w:p>
    <w:p>
      <w:pPr>
        <w:spacing w:after="60" w:before="60"/>
      </w:pPr>
      <w:r>
        <w:t xml:space="preserve"/>
      </w:r>
    </w:p>
    <w:p>
      <w:pPr>
        <w:spacing w:after="80" w:before="80"/>
      </w:pPr>
      <w:r>
        <w:rPr>
          <w:rFonts w:ascii="Arial" w:cs="Arial" w:eastAsia="Arial" w:hAnsi="Arial"/>
          <w:sz w:val="22"/>
          <w:szCs w:val="22"/>
        </w:rPr>
        <w:t xml:space="preserve">Printed Name: _______________________________</w:t>
      </w:r>
    </w:p>
    <w:p>
      <w:pPr>
        <w:spacing w:after="60" w:before="60"/>
      </w:pPr>
      <w:r>
        <w:t xml:space="preserve"/>
      </w:r>
    </w:p>
    <w:p>
      <w:pPr>
        <w:spacing w:after="60" w:before="60"/>
      </w:pPr>
      <w:r>
        <w:t xml:space="preserve"/>
      </w:r>
    </w:p>
    <w:p>
      <w:pPr>
        <w:spacing w:after="80" w:before="80"/>
      </w:pPr>
      <w:r>
        <w:rPr>
          <w:rFonts w:ascii="Arial" w:cs="Arial" w:eastAsia="Arial" w:hAnsi="Arial"/>
          <w:sz w:val="22"/>
          <w:szCs w:val="22"/>
        </w:rPr>
        <w:t xml:space="preserve">_____________________________________________</w:t>
      </w:r>
    </w:p>
    <w:p>
      <w:pPr>
        <w:spacing w:after="80" w:before="80"/>
      </w:pPr>
      <w:r>
        <w:rPr>
          <w:rFonts w:ascii="Arial" w:cs="Arial" w:eastAsia="Arial" w:hAnsi="Arial"/>
          <w:sz w:val="22"/>
          <w:szCs w:val="22"/>
        </w:rPr>
        <w:t xml:space="preserve">Secretary, Signature</w:t>
      </w:r>
    </w:p>
    <w:p>
      <w:pPr>
        <w:spacing w:after="60" w:before="60"/>
      </w:pPr>
      <w:r>
        <w:t xml:space="preserve"/>
      </w:r>
    </w:p>
    <w:p>
      <w:pPr>
        <w:spacing w:after="80" w:before="80"/>
      </w:pPr>
      <w:r>
        <w:rPr>
          <w:rFonts w:ascii="Arial" w:cs="Arial" w:eastAsia="Arial" w:hAnsi="Arial"/>
          <w:sz w:val="22"/>
          <w:szCs w:val="22"/>
        </w:rPr>
        <w:t xml:space="preserve">Printed Name: _______________________________</w:t>
      </w:r>
    </w:p>
    <w:p>
      <w:pPr>
        <w:spacing w:after="60" w:before="60"/>
      </w:pPr>
      <w:r>
        <w:t xml:space="preserve"/>
      </w:r>
    </w:p>
    <w:p>
      <w:pPr>
        <w:spacing w:after="60" w:before="60"/>
      </w:pPr>
      <w:r>
        <w:t xml:space="preserve"/>
      </w:r>
    </w:p>
    <w:p>
      <w:pPr>
        <w:spacing w:after="80" w:before="80"/>
      </w:pPr>
      <w:r>
        <w:rPr>
          <w:rFonts w:ascii="Arial" w:cs="Arial" w:eastAsia="Arial" w:hAnsi="Arial"/>
          <w:sz w:val="22"/>
          <w:szCs w:val="22"/>
        </w:rPr>
        <w:t xml:space="preserve">Corporate Seal (if applicable):</w:t>
      </w:r>
    </w:p>
    <w:p>
      <w:pPr>
        <w:spacing w:after="60" w:before="60"/>
      </w:pPr>
      <w:r>
        <w:t xml:space="preserve"/>
      </w:r>
    </w:p>
    <w:p>
      <w:pPr>
        <w:spacing w:after="60" w:before="60"/>
      </w:pPr>
      <w:r>
        <w:t xml:space="preserve"/>
      </w:r>
    </w:p>
    <w:p>
      <w:pPr>
        <w:spacing w:after="80" w:before="80"/>
      </w:pPr>
      <w:r>
        <w:rPr>
          <w:rFonts w:ascii="Arial" w:cs="Arial" w:eastAsia="Arial" w:hAnsi="Arial"/>
          <w:b/>
          <w:bCs/>
          <w:color w:val="1B3A6B"/>
          <w:sz w:val="22"/>
          <w:szCs w:val="22"/>
        </w:rPr>
        <w:t xml:space="preserve">EIN: 93-4643102  |  SOSID: 2665552  |  God's Name We Serve Humanity, Inc.</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960C" w:sz="2" w:space="4"/>
      </w:pBdr>
      <w:tabs>
        <w:tab w:val="right" w:pos="9360"/>
      </w:tabs>
      <w:spacing w:before="80"/>
    </w:pPr>
    <w:r>
      <w:rPr>
        <w:rFonts w:ascii="Arial" w:cs="Arial" w:eastAsia="Arial" w:hAnsi="Arial"/>
        <w:color w:val="666666"/>
        <w:sz w:val="18"/>
        <w:szCs w:val="18"/>
      </w:rPr>
      <w:t xml:space="preserve">EIN: 93-4643102  |  SOSID: 2665552  |  501(c)(3) Charitable Organization</w:t>
    </w:r>
    <w:r>
      <w:rPr>
        <w:rFonts w:ascii="Arial" w:cs="Arial" w:eastAsia="Arial" w:hAnsi="Arial"/>
      </w:rPr>
      <w:t xml:space="preserve">	</w:t>
    </w:r>
    <w:r>
      <w:rPr>
        <w:rFonts w:ascii="Arial" w:cs="Arial" w:eastAsia="Arial" w:hAnsi="Arial"/>
        <w:color w:val="666666"/>
        <w:sz w:val="18"/>
        <w:szCs w:val="18"/>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4"/>
      </w:pBdr>
      <w:spacing w:after="120"/>
    </w:pPr>
    <w:r>
      <w:rPr>
        <w:rFonts w:ascii="Arial" w:cs="Arial" w:eastAsia="Arial" w:hAnsi="Arial"/>
        <w:b/>
        <w:bCs/>
        <w:color w:val="1B3A6B"/>
        <w:sz w:val="20"/>
        <w:szCs w:val="20"/>
      </w:rPr>
      <w:t xml:space="preserve">GOD'S NAME WE SERVE HUMANITY, INC.</w:t>
    </w:r>
    <w:r>
      <w:rPr>
        <w:rFonts w:ascii="Arial" w:cs="Arial" w:eastAsia="Arial" w:hAnsi="Arial"/>
        <w:color w:val="666666"/>
        <w:sz w:val="18"/>
        <w:szCs w:val="18"/>
      </w:rPr>
      <w:t xml:space="preserve">   |   BYLAWS AS COMMUNITY DEVELOPMENT CORPORATION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A6B"/>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2026-06-16T19:22:13.165Z</dcterms:created>
  <dcterms:modified xsi:type="dcterms:W3CDTF">2026-06-16T19:22:13.165Z</dcterms:modified>
</cp:coreProperties>
</file>

<file path=docProps/custom.xml><?xml version="1.0" encoding="utf-8"?>
<Properties xmlns="http://schemas.openxmlformats.org/officeDocument/2006/custom-properties" xmlns:vt="http://schemas.openxmlformats.org/officeDocument/2006/docPropsVTypes"/>
</file>