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3A6B"/>
          <w:sz w:val="44"/>
          <w:szCs w:val="44"/>
        </w:rPr>
        <w:t xml:space="preserve">GOD'S NAME WE SERVE HUMANITY, INC.</w:t>
      </w:r>
    </w:p>
    <w:p>
      <w:pPr>
        <w:spacing w:after="60" w:before="60"/>
        <w:jc w:val="center"/>
      </w:pPr>
      <w:r>
        <w:rPr>
          <w:rFonts w:ascii="Arial" w:cs="Arial" w:eastAsia="Arial" w:hAnsi="Arial"/>
          <w:b/>
          <w:bCs/>
          <w:color w:val="B8960C"/>
          <w:sz w:val="24"/>
          <w:szCs w:val="24"/>
        </w:rPr>
        <w:t xml:space="preserve">Community Development Corporation</w:t>
      </w:r>
    </w:p>
    <w:p>
      <w:pPr>
        <w:pBdr>
          <w:bottom w:val="single" w:color="B8960C" w:sz="2" w:space="1"/>
        </w:pBdr>
        <w:spacing w:after="200" w:before="200"/>
      </w:pPr>
      <w:r>
        <w:t xml:space="preserve"/>
      </w:r>
    </w:p>
    <w:p>
      <w:pPr>
        <w:spacing w:after="80" w:before="200"/>
        <w:jc w:val="center"/>
      </w:pPr>
      <w:r>
        <w:rPr>
          <w:rFonts w:ascii="Arial" w:cs="Arial" w:eastAsia="Arial" w:hAnsi="Arial"/>
          <w:b/>
          <w:bCs/>
          <w:caps/>
          <w:color w:val="1B3A6B"/>
          <w:sz w:val="48"/>
          <w:szCs w:val="48"/>
        </w:rPr>
        <w:t xml:space="preserve">OPERATING AGREEMENT</w:t>
      </w:r>
    </w:p>
    <w:p>
      <w:pPr>
        <w:spacing w:after="60" w:before="60"/>
        <w:jc w:val="center"/>
      </w:pPr>
      <w:r>
        <w:rPr>
          <w:rFonts w:ascii="Arial" w:cs="Arial" w:eastAsia="Arial" w:hAnsi="Arial"/>
          <w:color w:val="444444"/>
          <w:sz w:val="28"/>
          <w:szCs w:val="28"/>
        </w:rPr>
        <w:t xml:space="preserve">AND</w:t>
      </w:r>
    </w:p>
    <w:p>
      <w:pPr>
        <w:spacing w:after="80" w:before="60"/>
        <w:jc w:val="center"/>
      </w:pPr>
      <w:r>
        <w:rPr>
          <w:rFonts w:ascii="Arial" w:cs="Arial" w:eastAsia="Arial" w:hAnsi="Arial"/>
          <w:b/>
          <w:bCs/>
          <w:caps/>
          <w:color w:val="1B3A6B"/>
          <w:sz w:val="36"/>
          <w:szCs w:val="36"/>
        </w:rPr>
        <w:t xml:space="preserve">PROPERTY ACQUISITION POLICY</w:t>
      </w:r>
    </w:p>
    <w:p>
      <w:pPr>
        <w:spacing w:after="480" w:before="120"/>
        <w:jc w:val="center"/>
      </w:pPr>
      <w:r>
        <w:rPr>
          <w:rFonts w:ascii="Arial" w:cs="Arial" w:eastAsia="Arial" w:hAnsi="Arial"/>
          <w:color w:val="666666"/>
          <w:sz w:val="22"/>
          <w:szCs w:val="22"/>
        </w:rPr>
        <w:t xml:space="preserve">Effective: June 2026  |  Greensboro, North Carolina</w:t>
      </w:r>
    </w:p>
    <w:p>
      <w:pPr>
        <w:pBdr>
          <w:bottom w:val="single" w:color="B8960C" w:sz="2" w:space="1"/>
        </w:pBdr>
        <w:spacing w:after="200" w:before="200"/>
      </w:pPr>
      <w:r>
        <w:t xml:space="preserve"/>
      </w:r>
    </w:p>
    <w:p>
      <w:pPr>
        <w:pStyle w:val="Heading1"/>
        <w:pBdr>
          <w:bottom w:val="single" w:color="1B3A6B" w:sz="4" w:space="4"/>
        </w:pBdr>
        <w:spacing w:after="160" w:before="360"/>
      </w:pPr>
      <w:r>
        <w:rPr>
          <w:rFonts w:ascii="Arial" w:cs="Arial" w:eastAsia="Arial" w:hAnsi="Arial"/>
          <w:b/>
          <w:bCs/>
          <w:color w:val="1B3A6B"/>
          <w:sz w:val="28"/>
          <w:szCs w:val="28"/>
        </w:rPr>
        <w:t xml:space="preserve">PART I — CORPORATE IDENTITY AND CDC FRAMEWORK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Legal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God's Name We Serve Humanity, Inc.</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Entity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Carolina Nonprofit Corporation — 501(c)(3) Charitable</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Operating Designation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Development Corporation (CDC)</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EIN / TIN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93-4643102</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SOSID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2665552</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Date of Incorporation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Filed: July 11, 2023 (NCSOS)</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Principal Office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 Shore Lake Drive, Apt H, Greensboro, NC 27455</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Registered 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Alessandro S. Imperiale — 103 Shore Lake Drive, Apt H, Greensboro, NC 27455</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Incorporator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 Rufus Farrior / Farrior &amp; Associates, 400 W. Fisher Ave, Greensboro, NC 27401</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IRS Tax-Exempt Purpose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Charitable (501(c)(3)) — Housing, Economic Development, Workforce Services</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Governing Documents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Articles of Incorporation (NCSOS) + These Bylaws + This Operating Agreement</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2026</w:t>
            </w:r>
          </w:p>
        </w:tc>
      </w:tr>
    </w:tbl>
    <w:p>
      <w:pPr>
        <w:spacing w:after="80" w:before="80"/>
      </w:pPr>
      <w:r>
        <w:t xml:space="preserve"/>
      </w:r>
    </w:p>
    <w:p>
      <w:pPr>
        <w:spacing w:after="80" w:before="80"/>
      </w:pPr>
      <w:r>
        <w:t xml:space="preserve"/>
      </w:r>
    </w:p>
    <w:p>
      <w:pPr>
        <w:pStyle w:val="Heading2"/>
        <w:spacing w:after="100" w:before="240"/>
      </w:pPr>
      <w:r>
        <w:rPr>
          <w:rFonts w:ascii="Arial" w:cs="Arial" w:eastAsia="Arial" w:hAnsi="Arial"/>
          <w:b/>
          <w:bCs/>
          <w:color w:val="1B3A6B"/>
          <w:sz w:val="24"/>
          <w:szCs w:val="24"/>
        </w:rPr>
        <w:t xml:space="preserve">1.1 — CDC Mission and Operating Philosophy</w:t>
      </w:r>
    </w:p>
    <w:p>
      <w:pPr>
        <w:spacing w:after="80" w:before="80"/>
      </w:pPr>
      <w:r>
        <w:rPr>
          <w:rFonts w:ascii="Arial" w:cs="Arial" w:eastAsia="Arial" w:hAnsi="Arial"/>
          <w:sz w:val="22"/>
          <w:szCs w:val="22"/>
        </w:rPr>
        <w:t xml:space="preserve">God's Name We Serve Humanity, Inc. ("GNWSH" or the "Organization") operates as a faith-anchored Community Development Corporation committed to breaking cycles of poverty, homelessness, and social displacement through the strategic acquisition and development of real property as a vehicle for community restoration and individual transformation.</w:t>
      </w:r>
    </w:p>
    <w:p>
      <w:pPr>
        <w:spacing w:after="80" w:before="80"/>
      </w:pPr>
      <w:r>
        <w:t xml:space="preserve"/>
      </w:r>
    </w:p>
    <w:p>
      <w:pPr>
        <w:spacing w:after="80" w:before="80"/>
      </w:pPr>
      <w:r>
        <w:rPr>
          <w:rFonts w:ascii="Arial" w:cs="Arial" w:eastAsia="Arial" w:hAnsi="Arial"/>
          <w:sz w:val="22"/>
          <w:szCs w:val="22"/>
        </w:rPr>
        <w:t xml:space="preserve">The Organization's CDC activities are the operational expression of its core belief: that safe, stable housing is both a human right and a platform for economic mobility. Every property acquired, every unit developed, and every dollar of capital deployed must serve this purpose.</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1.2 — CDC Governing Standards</w:t>
      </w:r>
    </w:p>
    <w:p>
      <w:pPr>
        <w:spacing w:after="80" w:before="80"/>
      </w:pPr>
      <w:r>
        <w:rPr>
          <w:rFonts w:ascii="Arial" w:cs="Arial" w:eastAsia="Arial" w:hAnsi="Arial"/>
          <w:sz w:val="22"/>
          <w:szCs w:val="22"/>
        </w:rPr>
        <w:t xml:space="preserve">This Operating Agreement governs the Organization's internal management, financial operations, community development activities, and property acquisition protocols. It supplements the Bylaws and is binding on all directors, officers, employees, contractors, and agents acting on behalf of the Organization.</w:t>
      </w:r>
    </w:p>
    <w:p>
      <w:pPr>
        <w:pBdr>
          <w:bottom w:val="single" w:color="B8960C" w:sz="2" w:space="1"/>
        </w:pBdr>
        <w:spacing w:after="200" w:before="200"/>
      </w:pPr>
      <w:r>
        <w:t xml:space="preserve"/>
      </w:r>
    </w:p>
    <w:p>
      <w:pPr>
        <w:pStyle w:val="Heading1"/>
        <w:pBdr>
          <w:bottom w:val="single" w:color="1B3A6B" w:sz="4" w:space="4"/>
        </w:pBdr>
        <w:spacing w:after="160" w:before="360"/>
      </w:pPr>
      <w:r>
        <w:rPr>
          <w:rFonts w:ascii="Arial" w:cs="Arial" w:eastAsia="Arial" w:hAnsi="Arial"/>
          <w:b/>
          <w:bCs/>
          <w:color w:val="1B3A6B"/>
          <w:sz w:val="28"/>
          <w:szCs w:val="28"/>
        </w:rPr>
        <w:t xml:space="preserve">PART II — EXECUTIVE LEADERSHIP AND OPERATIONAL FRAMEWORK</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2.1 — Executive Director Authority</w:t>
      </w:r>
    </w:p>
    <w:p>
      <w:pPr>
        <w:spacing w:after="80" w:before="80"/>
      </w:pPr>
      <w:r>
        <w:rPr>
          <w:rFonts w:ascii="Arial" w:cs="Arial" w:eastAsia="Arial" w:hAnsi="Arial"/>
          <w:sz w:val="22"/>
          <w:szCs w:val="22"/>
        </w:rPr>
        <w:t xml:space="preserve">The Executive Director (ED) is the chief operating officer of the Corporation and holds delegated authority from the Board of Directors to manage day-to-day operations, implement Board policy, direct staff, execute contracts within Board-approved authority levels, and represent the Organization in the community, with government agencies, and with funding partners.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2.2 — Delegated Financial Authority</w:t>
      </w:r>
    </w:p>
    <w:p>
      <w:pPr>
        <w:spacing w:after="80" w:before="80"/>
      </w:pPr>
      <w:r>
        <w:rPr>
          <w:rFonts w:ascii="Arial" w:cs="Arial" w:eastAsia="Arial" w:hAnsi="Arial"/>
          <w:sz w:val="22"/>
          <w:szCs w:val="22"/>
        </w:rPr>
        <w:t xml:space="preserve">The Executive Director is authorized to approve expenditures and enter contracts as follows:</w:t>
      </w:r>
    </w:p>
    <w:p>
      <w:pPr>
        <w:pStyle w:val="ListParagraph"/>
        <w:numPr>
          <w:ilvl w:val="0"/>
          <w:numId w:val="2"/>
        </w:numPr>
        <w:spacing w:after="60" w:before="60"/>
      </w:pPr>
      <w:r>
        <w:rPr>
          <w:rFonts w:ascii="Arial" w:cs="Arial" w:eastAsia="Arial" w:hAnsi="Arial"/>
          <w:sz w:val="22"/>
          <w:szCs w:val="22"/>
        </w:rPr>
        <w:t xml:space="preserve">Up to $5,000 per transaction — ED sole authority;</w:t>
      </w:r>
    </w:p>
    <w:p>
      <w:pPr>
        <w:pStyle w:val="ListParagraph"/>
        <w:numPr>
          <w:ilvl w:val="0"/>
          <w:numId w:val="2"/>
        </w:numPr>
        <w:spacing w:after="60" w:before="60"/>
      </w:pPr>
      <w:r>
        <w:rPr>
          <w:rFonts w:ascii="Arial" w:cs="Arial" w:eastAsia="Arial" w:hAnsi="Arial"/>
          <w:sz w:val="22"/>
          <w:szCs w:val="22"/>
        </w:rPr>
        <w:t xml:space="preserve">$5,001 to $25,000 — ED with Treasurer or Board Chair co-authorization;</w:t>
      </w:r>
    </w:p>
    <w:p>
      <w:pPr>
        <w:pStyle w:val="ListParagraph"/>
        <w:numPr>
          <w:ilvl w:val="0"/>
          <w:numId w:val="2"/>
        </w:numPr>
        <w:spacing w:after="60" w:before="60"/>
      </w:pPr>
      <w:r>
        <w:rPr>
          <w:rFonts w:ascii="Arial" w:cs="Arial" w:eastAsia="Arial" w:hAnsi="Arial"/>
          <w:sz w:val="22"/>
          <w:szCs w:val="22"/>
        </w:rPr>
        <w:t xml:space="preserve">$25,001 to $100,000 — Board majority vote required;</w:t>
      </w:r>
    </w:p>
    <w:p>
      <w:pPr>
        <w:pStyle w:val="ListParagraph"/>
        <w:numPr>
          <w:ilvl w:val="0"/>
          <w:numId w:val="2"/>
        </w:numPr>
        <w:spacing w:after="60" w:before="60"/>
      </w:pPr>
      <w:r>
        <w:rPr>
          <w:rFonts w:ascii="Arial" w:cs="Arial" w:eastAsia="Arial" w:hAnsi="Arial"/>
          <w:sz w:val="22"/>
          <w:szCs w:val="22"/>
        </w:rPr>
        <w:t xml:space="preserve">Above $100,000 — Board two-thirds (2/3) vote required.</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2.3 — Property Development Authority</w:t>
      </w:r>
    </w:p>
    <w:p>
      <w:pPr>
        <w:spacing w:after="80" w:before="80"/>
      </w:pPr>
      <w:r>
        <w:rPr>
          <w:rFonts w:ascii="Arial" w:cs="Arial" w:eastAsia="Arial" w:hAnsi="Arial"/>
          <w:sz w:val="22"/>
          <w:szCs w:val="22"/>
        </w:rPr>
        <w:t xml:space="preserve">All real property acquisitions, dispositions, mortgage agreements, and development commitments require Board approval regardless of dollar amount. The ED may conduct due diligence, negotiate terms, and engage consultants, but no property transaction is binding until Board authorization is obtained in writing.</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2.4 — Staff and Contractors</w:t>
      </w:r>
    </w:p>
    <w:p>
      <w:pPr>
        <w:spacing w:after="80" w:before="80"/>
      </w:pPr>
      <w:r>
        <w:rPr>
          <w:rFonts w:ascii="Arial" w:cs="Arial" w:eastAsia="Arial" w:hAnsi="Arial"/>
          <w:sz w:val="22"/>
          <w:szCs w:val="22"/>
        </w:rPr>
        <w:t xml:space="preserve">The ED is authorized to hire, supervise, and terminate staff and contractors within Board-approved budget parameters. Key leadership positions (Deputy Director, Chief Financial Officer, Director of Property Development) shall require Board notification and opportunity for input prior to hire.</w:t>
      </w:r>
    </w:p>
    <w:p>
      <w:pPr>
        <w:pBdr>
          <w:bottom w:val="single" w:color="B8960C" w:sz="2" w:space="1"/>
        </w:pBdr>
        <w:spacing w:after="200" w:before="200"/>
      </w:pPr>
      <w:r>
        <w:t xml:space="preserve"/>
      </w:r>
    </w:p>
    <w:p>
      <w:pPr>
        <w:pStyle w:val="Heading1"/>
        <w:pBdr>
          <w:bottom w:val="single" w:color="1B3A6B" w:sz="4" w:space="4"/>
        </w:pBdr>
        <w:spacing w:after="160" w:before="360"/>
      </w:pPr>
      <w:r>
        <w:rPr>
          <w:rFonts w:ascii="Arial" w:cs="Arial" w:eastAsia="Arial" w:hAnsi="Arial"/>
          <w:b/>
          <w:bCs/>
          <w:color w:val="1B3A6B"/>
          <w:sz w:val="28"/>
          <w:szCs w:val="28"/>
        </w:rPr>
        <w:t xml:space="preserve">PART III — PROPERTY ACQUISITION POLICY</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3.1 — Policy Purpose</w:t>
      </w:r>
    </w:p>
    <w:p>
      <w:pPr>
        <w:spacing w:after="80" w:before="80"/>
      </w:pPr>
      <w:r>
        <w:rPr>
          <w:rFonts w:ascii="Arial" w:cs="Arial" w:eastAsia="Arial" w:hAnsi="Arial"/>
          <w:sz w:val="22"/>
          <w:szCs w:val="22"/>
        </w:rPr>
        <w:t xml:space="preserve">This Property Acquisition Policy establishes the standards, procedures, and decision-making framework by which God's Name We Serve Humanity, Inc. identifies, evaluates, acquires, and manages real property in furtherance of its CDC mission. All property transactions must advance the Organization's charitable purposes, comply with applicable law, and withstand scrutiny from funders, regulators, and the community.</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3.2 — Acquisition Criteria</w:t>
      </w:r>
    </w:p>
    <w:p>
      <w:pPr>
        <w:spacing w:after="80" w:before="80"/>
      </w:pPr>
      <w:r>
        <w:rPr>
          <w:rFonts w:ascii="Arial" w:cs="Arial" w:eastAsia="Arial" w:hAnsi="Arial"/>
          <w:sz w:val="22"/>
          <w:szCs w:val="22"/>
        </w:rPr>
        <w:t xml:space="preserve">All prospective property acquisitions shall be evaluated against the following criteria: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Mission Alignment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use must directly advance affordable housing, transitional services, or community development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Mandatory</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Community Need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of housing demand, income disparity, or underserved population in the target 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Mandatory</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Financial Feasibility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forma demonstrating viable development budget, projected revenues, and debt service coverage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Mandatory</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Title and Legal Clearance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title, environmental assessment (Phase I minimum), and zoning compatibility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Mandatory</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Market Analysis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Comparable rents, absorption rates, and competitive inventory 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Financing Structure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Identified capital sources (equity, grants, loans) covering 100% of project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Community Impact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number of households/individuals served; displacement risk 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Exit Strategy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Defined long-term ownership, management, or disposition 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r>
    </w:tbl>
    <w:p>
      <w:pPr>
        <w:spacing w:after="80" w:before="80"/>
      </w:pPr>
      <w:r>
        <w:t xml:space="preserve"/>
      </w:r>
    </w:p>
    <w:p>
      <w:pPr>
        <w:spacing w:after="80" w:before="80"/>
      </w:pPr>
      <w:r>
        <w:t xml:space="preserve"/>
      </w:r>
    </w:p>
    <w:p>
      <w:pPr>
        <w:pStyle w:val="Heading2"/>
        <w:spacing w:after="100" w:before="240"/>
      </w:pPr>
      <w:r>
        <w:rPr>
          <w:rFonts w:ascii="Arial" w:cs="Arial" w:eastAsia="Arial" w:hAnsi="Arial"/>
          <w:b/>
          <w:bCs/>
          <w:color w:val="1B3A6B"/>
          <w:sz w:val="24"/>
          <w:szCs w:val="24"/>
        </w:rPr>
        <w:t xml:space="preserve">3.3 — Acquisition Process</w:t>
      </w:r>
    </w:p>
    <w:p>
      <w:pPr>
        <w:spacing w:after="80" w:before="80"/>
      </w:pPr>
      <w:r>
        <w:rPr>
          <w:rFonts w:ascii="Arial" w:cs="Arial" w:eastAsia="Arial" w:hAnsi="Arial"/>
          <w:sz w:val="22"/>
          <w:szCs w:val="22"/>
        </w:rPr>
        <w:t xml:space="preserve">All property acquisitions shall follow this process:</w:t>
      </w:r>
    </w:p>
    <w:p>
      <w:pPr>
        <w:pStyle w:val="ListParagraph"/>
        <w:numPr>
          <w:ilvl w:val="0"/>
          <w:numId w:val="3"/>
        </w:numPr>
        <w:spacing w:after="60" w:before="60"/>
      </w:pPr>
      <w:r>
        <w:rPr>
          <w:rFonts w:ascii="Arial" w:cs="Arial" w:eastAsia="Arial" w:hAnsi="Arial"/>
          <w:sz w:val="22"/>
          <w:szCs w:val="22"/>
        </w:rPr>
        <w:t xml:space="preserve">Initial Identification — ED or designee identifies prospective property; prepares one-page opportunity summary;</w:t>
      </w:r>
    </w:p>
    <w:p>
      <w:pPr>
        <w:pStyle w:val="ListParagraph"/>
        <w:numPr>
          <w:ilvl w:val="0"/>
          <w:numId w:val="3"/>
        </w:numPr>
        <w:spacing w:after="60" w:before="60"/>
      </w:pPr>
      <w:r>
        <w:rPr>
          <w:rFonts w:ascii="Arial" w:cs="Arial" w:eastAsia="Arial" w:hAnsi="Arial"/>
          <w:sz w:val="22"/>
          <w:szCs w:val="22"/>
        </w:rPr>
        <w:t xml:space="preserve">Preliminary Feasibility — Real Estate Committee reviews opportunity summary and authorizes due diligence;</w:t>
      </w:r>
    </w:p>
    <w:p>
      <w:pPr>
        <w:pStyle w:val="ListParagraph"/>
        <w:numPr>
          <w:ilvl w:val="0"/>
          <w:numId w:val="3"/>
        </w:numPr>
        <w:spacing w:after="60" w:before="60"/>
      </w:pPr>
      <w:r>
        <w:rPr>
          <w:rFonts w:ascii="Arial" w:cs="Arial" w:eastAsia="Arial" w:hAnsi="Arial"/>
          <w:sz w:val="22"/>
          <w:szCs w:val="22"/>
        </w:rPr>
        <w:t xml:space="preserve">Due Diligence — Physical inspection, title search, environmental assessment, market analysis, financial modeling completed;</w:t>
      </w:r>
    </w:p>
    <w:p>
      <w:pPr>
        <w:pStyle w:val="ListParagraph"/>
        <w:numPr>
          <w:ilvl w:val="0"/>
          <w:numId w:val="3"/>
        </w:numPr>
        <w:spacing w:after="60" w:before="60"/>
      </w:pPr>
      <w:r>
        <w:rPr>
          <w:rFonts w:ascii="Arial" w:cs="Arial" w:eastAsia="Arial" w:hAnsi="Arial"/>
          <w:sz w:val="22"/>
          <w:szCs w:val="22"/>
        </w:rPr>
        <w:t xml:space="preserve">Acquisition Proposal — ED presents full Acquisition Proposal to Board, including all due diligence findings, pro forma, and recommended financing structure;</w:t>
      </w:r>
    </w:p>
    <w:p>
      <w:pPr>
        <w:pStyle w:val="ListParagraph"/>
        <w:numPr>
          <w:ilvl w:val="0"/>
          <w:numId w:val="3"/>
        </w:numPr>
        <w:spacing w:after="60" w:before="60"/>
      </w:pPr>
      <w:r>
        <w:rPr>
          <w:rFonts w:ascii="Arial" w:cs="Arial" w:eastAsia="Arial" w:hAnsi="Arial"/>
          <w:sz w:val="22"/>
          <w:szCs w:val="22"/>
        </w:rPr>
        <w:t xml:space="preserve">Board Vote — Board votes to approve or decline; approval requires two-thirds (2/3) vote for acquisitions;</w:t>
      </w:r>
    </w:p>
    <w:p>
      <w:pPr>
        <w:pStyle w:val="ListParagraph"/>
        <w:numPr>
          <w:ilvl w:val="0"/>
          <w:numId w:val="3"/>
        </w:numPr>
        <w:spacing w:after="60" w:before="60"/>
      </w:pPr>
      <w:r>
        <w:rPr>
          <w:rFonts w:ascii="Arial" w:cs="Arial" w:eastAsia="Arial" w:hAnsi="Arial"/>
          <w:sz w:val="22"/>
          <w:szCs w:val="22"/>
        </w:rPr>
        <w:t xml:space="preserve">Contract Execution — Upon Board approval, ED and Board Chair or Treasurer execute purchase agreement and related documents;</w:t>
      </w:r>
    </w:p>
    <w:p>
      <w:pPr>
        <w:pStyle w:val="ListParagraph"/>
        <w:numPr>
          <w:ilvl w:val="0"/>
          <w:numId w:val="3"/>
        </w:numPr>
        <w:spacing w:after="60" w:before="60"/>
      </w:pPr>
      <w:r>
        <w:rPr>
          <w:rFonts w:ascii="Arial" w:cs="Arial" w:eastAsia="Arial" w:hAnsi="Arial"/>
          <w:sz w:val="22"/>
          <w:szCs w:val="22"/>
        </w:rPr>
        <w:t xml:space="preserve">Closing — Legal counsel supervises closing; title taken in the name of the Corporation or an approved subsidiary entity;</w:t>
      </w:r>
    </w:p>
    <w:p>
      <w:pPr>
        <w:pStyle w:val="ListParagraph"/>
        <w:numPr>
          <w:ilvl w:val="0"/>
          <w:numId w:val="3"/>
        </w:numPr>
        <w:spacing w:after="60" w:before="60"/>
      </w:pPr>
      <w:r>
        <w:rPr>
          <w:rFonts w:ascii="Arial" w:cs="Arial" w:eastAsia="Arial" w:hAnsi="Arial"/>
          <w:sz w:val="22"/>
          <w:szCs w:val="22"/>
        </w:rPr>
        <w:t xml:space="preserve">Post-Acquisition Reporting — ED reports acquisition to Board within 30 days of closing with summary of terms.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3.4 — Current Property Portfolio Detail</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Asset 1: Danville, Virginia Land Parcel — 6.75 Acres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Danville, Virginia</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6.75 acres (6 and 3/4 acres)</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Asset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Undeveloped land — residential/community development</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Intended 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Transitional housing development, community facility, or mixed residential/services campus</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Development Stage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Pre-development / pipeline</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Estimated Units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determined based on zoning, site plan, and financing</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Target Population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Individuals transitioning from incarceration, substance use recovery, or homelessness</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Next Steps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 plan engagement, zoning confirmation, environmental Phase I, financing package assembly</w:t>
            </w:r>
          </w:p>
        </w:tc>
      </w:tr>
    </w:tbl>
    <w:p>
      <w:pPr>
        <w:spacing w:after="80" w:before="80"/>
      </w:pPr>
      <w:r>
        <w:t xml:space="preserve"/>
      </w:r>
    </w:p>
    <w:p>
      <w:pPr>
        <w:spacing w:after="80" w:before="80"/>
      </w:pPr>
      <w:r>
        <w:t xml:space="preserve"/>
      </w:r>
    </w:p>
    <w:p>
      <w:pPr>
        <w:pStyle w:val="Heading2"/>
        <w:spacing w:after="100" w:before="240"/>
      </w:pPr>
      <w:r>
        <w:rPr>
          <w:rFonts w:ascii="Arial" w:cs="Arial" w:eastAsia="Arial" w:hAnsi="Arial"/>
          <w:b/>
          <w:bCs/>
          <w:color w:val="1B3A6B"/>
          <w:sz w:val="24"/>
          <w:szCs w:val="24"/>
        </w:rPr>
        <w:t xml:space="preserve">Asset 2: St. Johns, Arizona — 2,000-Unit ADU Development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 Johns, Apache County, Arizona</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Opportunity Scale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2,000-unit Accessory Dwelling Unit (ADU) development</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Asset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Large-scale ADU development opportunity — partnership/joint venture structure</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Intended 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Affordable housing supply expansion through ADU development model</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Development Stage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Due diligence / partnership structuring / feasibility analysis</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Financing Approach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and state affordable housing programs, ADU-specific financing, private capital</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Partnership Structure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determined — potential JV with local developer, municipality, or housing authority</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Next Steps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study, regulatory analysis, partnership term sheet, federal program eligibility assessment</w:t>
            </w:r>
          </w:p>
        </w:tc>
      </w:tr>
    </w:tbl>
    <w:p>
      <w:pPr>
        <w:spacing w:after="80" w:before="80"/>
      </w:pPr>
      <w:r>
        <w:t xml:space="preserve"/>
      </w:r>
    </w:p>
    <w:p>
      <w:pPr>
        <w:spacing w:after="80" w:before="80"/>
      </w:pPr>
      <w:r>
        <w:t xml:space="preserve"/>
      </w:r>
    </w:p>
    <w:p>
      <w:pPr>
        <w:pStyle w:val="Heading2"/>
        <w:spacing w:after="100" w:before="240"/>
      </w:pPr>
      <w:r>
        <w:rPr>
          <w:rFonts w:ascii="Arial" w:cs="Arial" w:eastAsia="Arial" w:hAnsi="Arial"/>
          <w:b/>
          <w:bCs/>
          <w:color w:val="1B3A6B"/>
          <w:sz w:val="24"/>
          <w:szCs w:val="24"/>
        </w:rPr>
        <w:t xml:space="preserve">Asset 3: Operating Credit Facility — $500,000 to $1,000,000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Instrument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Line / Construction Loan / Bridge Financing</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Amount Range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 to $1,000,000</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available for deployment</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Authorized 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acquisition down payments, pre-development costs, construction bridge financing, working capital for CDC operations</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Restricted 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draws must advance CDC mission per Board-approved project budgets</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Draw Authority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 up to $25,000; ED + Treasurer/Chair up to $100,000; Board vote above $100,000</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Reporting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draw report to Treasurer; quarterly report to full Board</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specified in credit agreement — Board authorization required for any property pledge</w:t>
            </w:r>
          </w:p>
        </w:tc>
      </w:tr>
    </w:tbl>
    <w:p>
      <w:pPr>
        <w:pBdr>
          <w:bottom w:val="single" w:color="B8960C" w:sz="2" w:space="1"/>
        </w:pBdr>
        <w:spacing w:after="200" w:before="200"/>
      </w:pPr>
      <w:r>
        <w:t xml:space="preserve"/>
      </w:r>
    </w:p>
    <w:p>
      <w:pPr>
        <w:pStyle w:val="Heading1"/>
        <w:pBdr>
          <w:bottom w:val="single" w:color="1B3A6B" w:sz="4" w:space="4"/>
        </w:pBdr>
        <w:spacing w:after="160" w:before="360"/>
      </w:pPr>
      <w:r>
        <w:rPr>
          <w:rFonts w:ascii="Arial" w:cs="Arial" w:eastAsia="Arial" w:hAnsi="Arial"/>
          <w:b/>
          <w:bCs/>
          <w:color w:val="1B3A6B"/>
          <w:sz w:val="28"/>
          <w:szCs w:val="28"/>
        </w:rPr>
        <w:t xml:space="preserve">PART IV — FINANCIAL MANAGEMENT AND COMPLIANCE</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4.1 — Fund Accounting</w:t>
      </w:r>
    </w:p>
    <w:p>
      <w:pPr>
        <w:spacing w:after="80" w:before="80"/>
      </w:pPr>
      <w:r>
        <w:rPr>
          <w:rFonts w:ascii="Arial" w:cs="Arial" w:eastAsia="Arial" w:hAnsi="Arial"/>
          <w:sz w:val="22"/>
          <w:szCs w:val="22"/>
        </w:rPr>
        <w:t xml:space="preserve">The Organization shall maintain fund accounting practices consistent with generally accepted accounting principles (GAAP) for nonprofit organizations and standards established by the Financial Accounting Standards Board (FASB) ASC 958. Funds shall be categorized as:</w:t>
      </w:r>
    </w:p>
    <w:p>
      <w:pPr>
        <w:pStyle w:val="ListParagraph"/>
        <w:numPr>
          <w:ilvl w:val="0"/>
          <w:numId w:val="2"/>
        </w:numPr>
        <w:spacing w:after="60" w:before="60"/>
      </w:pPr>
      <w:r>
        <w:rPr>
          <w:rFonts w:ascii="Arial" w:cs="Arial" w:eastAsia="Arial" w:hAnsi="Arial"/>
          <w:sz w:val="22"/>
          <w:szCs w:val="22"/>
        </w:rPr>
        <w:t xml:space="preserve">Unrestricted Net Assets — available for general operating purposes;</w:t>
      </w:r>
    </w:p>
    <w:p>
      <w:pPr>
        <w:pStyle w:val="ListParagraph"/>
        <w:numPr>
          <w:ilvl w:val="0"/>
          <w:numId w:val="2"/>
        </w:numPr>
        <w:spacing w:after="60" w:before="60"/>
      </w:pPr>
      <w:r>
        <w:rPr>
          <w:rFonts w:ascii="Arial" w:cs="Arial" w:eastAsia="Arial" w:hAnsi="Arial"/>
          <w:sz w:val="22"/>
          <w:szCs w:val="22"/>
        </w:rPr>
        <w:t xml:space="preserve">Temporarily Restricted Net Assets — donor or grant restricted to specific purpose or time period;</w:t>
      </w:r>
    </w:p>
    <w:p>
      <w:pPr>
        <w:pStyle w:val="ListParagraph"/>
        <w:numPr>
          <w:ilvl w:val="0"/>
          <w:numId w:val="2"/>
        </w:numPr>
        <w:spacing w:after="60" w:before="60"/>
      </w:pPr>
      <w:r>
        <w:rPr>
          <w:rFonts w:ascii="Arial" w:cs="Arial" w:eastAsia="Arial" w:hAnsi="Arial"/>
          <w:sz w:val="22"/>
          <w:szCs w:val="22"/>
        </w:rPr>
        <w:t xml:space="preserve">Permanently Restricted Net Assets — endowment or perpetual restriction per donor intent.</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4.2 — Project Accounts</w:t>
      </w:r>
    </w:p>
    <w:p>
      <w:pPr>
        <w:spacing w:after="80" w:before="80"/>
      </w:pPr>
      <w:r>
        <w:rPr>
          <w:rFonts w:ascii="Arial" w:cs="Arial" w:eastAsia="Arial" w:hAnsi="Arial"/>
          <w:sz w:val="22"/>
          <w:szCs w:val="22"/>
        </w:rPr>
        <w:t xml:space="preserve">Each real property development project shall maintain a separate project account. Draws from the credit facility, grant receipts, and expenditures specific to a project shall be tracked in that project's account and reconciled monthly.</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4.3 — Grant Compliance</w:t>
      </w:r>
    </w:p>
    <w:p>
      <w:pPr>
        <w:spacing w:after="80" w:before="80"/>
      </w:pPr>
      <w:r>
        <w:rPr>
          <w:rFonts w:ascii="Arial" w:cs="Arial" w:eastAsia="Arial" w:hAnsi="Arial"/>
          <w:sz w:val="22"/>
          <w:szCs w:val="22"/>
        </w:rPr>
        <w:t xml:space="preserve">All grants, federal awards, and program-related investments received by the Organization shall be administered in accordance with: (a) the terms of the specific grant agreement; (b) 2 CFR Part 200 (Uniform Guidance) for federal awards; (c) applicable state and local grant requirements; and (d) the Organization's internal grant management procedures. The ED is responsible for establishing and maintaining grant compliance systems.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4.4 — Annual Audit</w:t>
      </w:r>
    </w:p>
    <w:p>
      <w:pPr>
        <w:spacing w:after="80" w:before="80"/>
      </w:pPr>
      <w:r>
        <w:rPr>
          <w:rFonts w:ascii="Arial" w:cs="Arial" w:eastAsia="Arial" w:hAnsi="Arial"/>
          <w:sz w:val="22"/>
          <w:szCs w:val="22"/>
        </w:rPr>
        <w:t xml:space="preserve">The Organization shall obtain an annual audit from an independent CPA firm when revenues exceed $500,000, or when required by any grant agreement. The Finance Committee shall recommend the auditor to the Board for annual approval. The auditor shall not provide bookkeeping or accounting services to the Organization.</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4.5 — IRS Form 990 Compliance</w:t>
      </w:r>
    </w:p>
    <w:p>
      <w:pPr>
        <w:spacing w:after="80" w:before="80"/>
      </w:pPr>
      <w:r>
        <w:rPr>
          <w:rFonts w:ascii="Arial" w:cs="Arial" w:eastAsia="Arial" w:hAnsi="Arial"/>
          <w:sz w:val="22"/>
          <w:szCs w:val="22"/>
        </w:rPr>
        <w:t xml:space="preserve">The Organization shall file IRS Form 990 (or 990-EZ/990-N as appropriate) annually by the required deadline. The Board shall review and approve the Form 990 prior to filing. The Organization shall make Form 990 and all attachments publicly available per IRS requirements.</w:t>
      </w:r>
    </w:p>
    <w:p>
      <w:pPr>
        <w:pBdr>
          <w:bottom w:val="single" w:color="B8960C" w:sz="2" w:space="1"/>
        </w:pBdr>
        <w:spacing w:after="200" w:before="200"/>
      </w:pPr>
      <w:r>
        <w:t xml:space="preserve"/>
      </w:r>
    </w:p>
    <w:p>
      <w:pPr>
        <w:pStyle w:val="Heading1"/>
        <w:pBdr>
          <w:bottom w:val="single" w:color="1B3A6B" w:sz="4" w:space="4"/>
        </w:pBdr>
        <w:spacing w:after="160" w:before="360"/>
      </w:pPr>
      <w:r>
        <w:rPr>
          <w:rFonts w:ascii="Arial" w:cs="Arial" w:eastAsia="Arial" w:hAnsi="Arial"/>
          <w:b/>
          <w:bCs/>
          <w:color w:val="1B3A6B"/>
          <w:sz w:val="28"/>
          <w:szCs w:val="28"/>
        </w:rPr>
        <w:t xml:space="preserve">PART V — COMMUNITY ACCOUNTABILITY AND TRANSPARENCY STANDARDS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5.1 — Community Representation</w:t>
      </w:r>
    </w:p>
    <w:p>
      <w:pPr>
        <w:spacing w:after="80" w:before="80"/>
      </w:pPr>
      <w:r>
        <w:rPr>
          <w:rFonts w:ascii="Arial" w:cs="Arial" w:eastAsia="Arial" w:hAnsi="Arial"/>
          <w:sz w:val="22"/>
          <w:szCs w:val="22"/>
        </w:rPr>
        <w:t xml:space="preserve">Consistent with CDC best practices, at least one-third (1/3) of Board directors shall be community representatives — individuals who reside in, have lived experience in, or directly represent the communities and populations served by the Organization. This standard shall be maintained at all times and reported annually in the Organization's public disclosures.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5.2 — Annual Community Report</w:t>
      </w:r>
    </w:p>
    <w:p>
      <w:pPr>
        <w:spacing w:after="80" w:before="80"/>
      </w:pPr>
      <w:r>
        <w:rPr>
          <w:rFonts w:ascii="Arial" w:cs="Arial" w:eastAsia="Arial" w:hAnsi="Arial"/>
          <w:sz w:val="22"/>
          <w:szCs w:val="22"/>
        </w:rPr>
        <w:t xml:space="preserve">The Organization shall publish an Annual Community Report each year describing: (a) households and individuals served; (b) housing units developed or under development; (c) programs delivered; (d) financial summary; and (e) strategic priorities for the coming year. The Annual Report shall be publicly available.</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5.3 — Non-Discrimination</w:t>
      </w:r>
    </w:p>
    <w:p>
      <w:pPr>
        <w:spacing w:after="80" w:before="80"/>
      </w:pPr>
      <w:r>
        <w:rPr>
          <w:rFonts w:ascii="Arial" w:cs="Arial" w:eastAsia="Arial" w:hAnsi="Arial"/>
          <w:sz w:val="22"/>
          <w:szCs w:val="22"/>
        </w:rPr>
        <w:t xml:space="preserve">The Organization shall not discriminate on the basis of race, color, religion, sex, national origin, disability, age, familial status, or any other protected characteristic in the delivery of housing, programs, or services. All housing programs shall comply with the Fair Housing Act, Section 504, and applicable equal opportunity requirements.</w:t>
      </w:r>
    </w:p>
    <w:p>
      <w:pPr>
        <w:pBdr>
          <w:bottom w:val="single" w:color="B8960C" w:sz="2" w:space="1"/>
        </w:pBdr>
        <w:spacing w:after="200" w:before="200"/>
      </w:pPr>
      <w:r>
        <w:t xml:space="preserve"/>
      </w:r>
    </w:p>
    <w:p>
      <w:pPr>
        <w:pStyle w:val="Heading1"/>
        <w:pBdr>
          <w:bottom w:val="single" w:color="1B3A6B" w:sz="4" w:space="4"/>
        </w:pBdr>
        <w:spacing w:after="160" w:before="360"/>
      </w:pPr>
      <w:r>
        <w:rPr>
          <w:rFonts w:ascii="Arial" w:cs="Arial" w:eastAsia="Arial" w:hAnsi="Arial"/>
          <w:b/>
          <w:bCs/>
          <w:color w:val="1B3A6B"/>
          <w:sz w:val="28"/>
          <w:szCs w:val="28"/>
        </w:rPr>
        <w:t xml:space="preserve">PART VI — ADOPTION AND CERTIFICATION</w:t>
      </w:r>
    </w:p>
    <w:p>
      <w:pPr>
        <w:spacing w:after="80" w:before="80"/>
      </w:pPr>
      <w:r>
        <w:t xml:space="preserve"/>
      </w:r>
    </w:p>
    <w:p>
      <w:pPr>
        <w:spacing w:after="80" w:before="80"/>
      </w:pPr>
      <w:r>
        <w:rPr>
          <w:rFonts w:ascii="Arial" w:cs="Arial" w:eastAsia="Arial" w:hAnsi="Arial"/>
          <w:sz w:val="22"/>
          <w:szCs w:val="22"/>
        </w:rPr>
        <w:t xml:space="preserve">This Operating Agreement and Property Acquisition Policy was reviewed and adopted by the Board of Directors of God's Name We Serve Humanity, Inc. at a duly convened meeting.</w:t>
      </w:r>
    </w:p>
    <w:p>
      <w:pPr>
        <w:spacing w:after="80" w:before="80"/>
      </w:pPr>
      <w:r>
        <w:t xml:space="preserve"/>
      </w:r>
    </w:p>
    <w:p>
      <w:pPr>
        <w:spacing w:after="80" w:before="80"/>
      </w:pPr>
      <w:r>
        <w:t xml:space="preserve"/>
      </w:r>
    </w:p>
    <w:p>
      <w:pPr>
        <w:spacing w:after="80" w:before="80"/>
      </w:pPr>
      <w:r>
        <w:rPr>
          <w:rFonts w:ascii="Arial" w:cs="Arial" w:eastAsia="Arial" w:hAnsi="Arial"/>
          <w:sz w:val="22"/>
          <w:szCs w:val="22"/>
        </w:rPr>
        <w:t xml:space="preserve">Date of Adoption: ________________________</w:t>
      </w:r>
    </w:p>
    <w:p>
      <w:pPr>
        <w:spacing w:after="80" w:before="80"/>
      </w:pPr>
      <w:r>
        <w:t xml:space="preserve"/>
      </w:r>
    </w:p>
    <w:p>
      <w:pPr>
        <w:spacing w:after="80" w:before="80"/>
      </w:pPr>
      <w:r>
        <w:t xml:space="preserve"/>
      </w:r>
    </w:p>
    <w:p>
      <w:pPr>
        <w:spacing w:after="80" w:before="80"/>
      </w:pPr>
      <w:r>
        <w:rPr>
          <w:rFonts w:ascii="Arial" w:cs="Arial" w:eastAsia="Arial" w:hAnsi="Arial"/>
          <w:sz w:val="22"/>
          <w:szCs w:val="22"/>
        </w:rPr>
        <w:t xml:space="preserve">_____________________________________________</w:t>
      </w:r>
    </w:p>
    <w:p>
      <w:pPr>
        <w:spacing w:after="80" w:before="80"/>
      </w:pPr>
      <w:r>
        <w:rPr>
          <w:rFonts w:ascii="Arial" w:cs="Arial" w:eastAsia="Arial" w:hAnsi="Arial"/>
          <w:sz w:val="22"/>
          <w:szCs w:val="22"/>
        </w:rPr>
        <w:t xml:space="preserve">Board Chair, Signature</w:t>
      </w:r>
    </w:p>
    <w:p>
      <w:pPr>
        <w:spacing w:after="80" w:before="80"/>
      </w:pPr>
      <w:r>
        <w:t xml:space="preserve"/>
      </w:r>
    </w:p>
    <w:p>
      <w:pPr>
        <w:spacing w:after="80" w:before="80"/>
      </w:pPr>
      <w:r>
        <w:rPr>
          <w:rFonts w:ascii="Arial" w:cs="Arial" w:eastAsia="Arial" w:hAnsi="Arial"/>
          <w:sz w:val="22"/>
          <w:szCs w:val="22"/>
        </w:rPr>
        <w:t xml:space="preserve">Printed Name: _______________________________     Title: Board Chair</w:t>
      </w:r>
    </w:p>
    <w:p>
      <w:pPr>
        <w:spacing w:after="80" w:before="80"/>
      </w:pPr>
      <w:r>
        <w:t xml:space="preserve"/>
      </w:r>
    </w:p>
    <w:p>
      <w:pPr>
        <w:spacing w:after="80" w:before="80"/>
      </w:pPr>
      <w:r>
        <w:t xml:space="preserve"/>
      </w:r>
    </w:p>
    <w:p>
      <w:pPr>
        <w:spacing w:after="80" w:before="80"/>
      </w:pPr>
      <w:r>
        <w:rPr>
          <w:rFonts w:ascii="Arial" w:cs="Arial" w:eastAsia="Arial" w:hAnsi="Arial"/>
          <w:sz w:val="22"/>
          <w:szCs w:val="22"/>
        </w:rPr>
        <w:t xml:space="preserve">_____________________________________________</w:t>
      </w:r>
    </w:p>
    <w:p>
      <w:pPr>
        <w:spacing w:after="80" w:before="80"/>
      </w:pPr>
      <w:r>
        <w:rPr>
          <w:rFonts w:ascii="Arial" w:cs="Arial" w:eastAsia="Arial" w:hAnsi="Arial"/>
          <w:sz w:val="22"/>
          <w:szCs w:val="22"/>
        </w:rPr>
        <w:t xml:space="preserve">Executive Director / President, Signature</w:t>
      </w:r>
    </w:p>
    <w:p>
      <w:pPr>
        <w:spacing w:after="80" w:before="80"/>
      </w:pPr>
      <w:r>
        <w:t xml:space="preserve"/>
      </w:r>
    </w:p>
    <w:p>
      <w:pPr>
        <w:spacing w:after="80" w:before="80"/>
      </w:pPr>
      <w:r>
        <w:rPr>
          <w:rFonts w:ascii="Arial" w:cs="Arial" w:eastAsia="Arial" w:hAnsi="Arial"/>
          <w:sz w:val="22"/>
          <w:szCs w:val="22"/>
        </w:rPr>
        <w:t xml:space="preserve">Printed Name: _______________________________     Title: Executive Director</w:t>
      </w:r>
    </w:p>
    <w:p>
      <w:pPr>
        <w:spacing w:after="80" w:before="80"/>
      </w:pPr>
      <w:r>
        <w:t xml:space="preserve"/>
      </w:r>
    </w:p>
    <w:p>
      <w:pPr>
        <w:spacing w:after="80" w:before="80"/>
      </w:pPr>
      <w:r>
        <w:t xml:space="preserve"/>
      </w:r>
    </w:p>
    <w:p>
      <w:pPr>
        <w:spacing w:after="80" w:before="80"/>
      </w:pPr>
      <w:r>
        <w:rPr>
          <w:rFonts w:ascii="Arial" w:cs="Arial" w:eastAsia="Arial" w:hAnsi="Arial"/>
          <w:sz w:val="22"/>
          <w:szCs w:val="22"/>
        </w:rPr>
        <w:t xml:space="preserve">_____________________________________________</w:t>
      </w:r>
    </w:p>
    <w:p>
      <w:pPr>
        <w:spacing w:after="80" w:before="80"/>
      </w:pPr>
      <w:r>
        <w:rPr>
          <w:rFonts w:ascii="Arial" w:cs="Arial" w:eastAsia="Arial" w:hAnsi="Arial"/>
          <w:sz w:val="22"/>
          <w:szCs w:val="22"/>
        </w:rPr>
        <w:t xml:space="preserve">Treasurer, Signature</w:t>
      </w:r>
    </w:p>
    <w:p>
      <w:pPr>
        <w:spacing w:after="80" w:before="80"/>
      </w:pPr>
      <w:r>
        <w:t xml:space="preserve"/>
      </w:r>
    </w:p>
    <w:p>
      <w:pPr>
        <w:spacing w:after="80" w:before="80"/>
      </w:pPr>
      <w:r>
        <w:rPr>
          <w:rFonts w:ascii="Arial" w:cs="Arial" w:eastAsia="Arial" w:hAnsi="Arial"/>
          <w:sz w:val="22"/>
          <w:szCs w:val="22"/>
        </w:rPr>
        <w:t xml:space="preserve">Printed Name: _______________________________     Title: Treasurer</w:t>
      </w:r>
    </w:p>
    <w:p>
      <w:pPr>
        <w:spacing w:after="80" w:before="80"/>
      </w:pPr>
      <w:r>
        <w:t xml:space="preserve"/>
      </w:r>
    </w:p>
    <w:p>
      <w:pPr>
        <w:spacing w:after="80" w:before="80"/>
      </w:pPr>
      <w:r>
        <w:t xml:space="preserve"/>
      </w:r>
    </w:p>
    <w:p>
      <w:pPr>
        <w:spacing w:after="80" w:before="80"/>
      </w:pPr>
      <w:r>
        <w:rPr>
          <w:rFonts w:ascii="Arial" w:cs="Arial" w:eastAsia="Arial" w:hAnsi="Arial"/>
          <w:b/>
          <w:bCs/>
          <w:color w:val="1B3A6B"/>
          <w:sz w:val="22"/>
          <w:szCs w:val="22"/>
        </w:rPr>
        <w:t xml:space="preserve">EIN: 93-4643102  |  SOSID: 2665552  |  God's Name We Serve Humanity, Inc.  |  CDC Operating Agreement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0C" w:sz="2" w:space="4"/>
      </w:pBdr>
      <w:tabs>
        <w:tab w:val="right" w:pos="9360"/>
      </w:tabs>
      <w:spacing w:before="80"/>
    </w:pPr>
    <w:r>
      <w:rPr>
        <w:rFonts w:ascii="Arial" w:cs="Arial" w:eastAsia="Arial" w:hAnsi="Arial"/>
        <w:color w:val="666666"/>
        <w:sz w:val="18"/>
        <w:szCs w:val="18"/>
      </w:rPr>
      <w:t xml:space="preserve">EIN: 93-4643102  |  Confidential — CDC Governance Document</w:t>
    </w:r>
    <w:r>
      <w:rPr>
        <w:rFonts w:ascii="Arial" w:cs="Arial" w:eastAsia="Arial" w:hAnsi="Arial"/>
      </w:rPr>
      <w:t xml:space="preserve">	</w:t>
    </w:r>
    <w:r>
      <w:rPr>
        <w:rFonts w:ascii="Arial" w:cs="Arial" w:eastAsia="Arial" w:hAnsi="Arial"/>
        <w:color w:val="666666"/>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20"/>
    </w:pPr>
    <w:r>
      <w:rPr>
        <w:rFonts w:ascii="Arial" w:cs="Arial" w:eastAsia="Arial" w:hAnsi="Arial"/>
        <w:b/>
        <w:bCs/>
        <w:color w:val="1B3A6B"/>
        <w:sz w:val="20"/>
        <w:szCs w:val="20"/>
      </w:rPr>
      <w:t xml:space="preserve">GOD'S NAME WE SERVE HUMANITY, INC.</w:t>
    </w:r>
    <w:r>
      <w:rPr>
        <w:rFonts w:ascii="Arial" w:cs="Arial" w:eastAsia="Arial" w:hAnsi="Arial"/>
        <w:color w:val="666666"/>
        <w:sz w:val="18"/>
        <w:szCs w:val="18"/>
      </w:rPr>
      <w:t xml:space="preserve">   |   CDC OPERATING AGREEMENT &amp; PROPERTY ACQUISITION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2026-06-16T19:23:48.762Z</dcterms:created>
  <dcterms:modified xsi:type="dcterms:W3CDTF">2026-06-16T19:23:48.762Z</dcterms:modified>
</cp:coreProperties>
</file>

<file path=docProps/custom.xml><?xml version="1.0" encoding="utf-8"?>
<Properties xmlns="http://schemas.openxmlformats.org/officeDocument/2006/custom-properties" xmlns:vt="http://schemas.openxmlformats.org/officeDocument/2006/docPropsVTypes"/>
</file>