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B3A6B"/>
          <w:sz w:val="52"/>
          <w:szCs w:val="52"/>
        </w:rPr>
        <w:t xml:space="preserve">GOD'S NAME WE SERVE HUMANITY, INC.</w:t>
      </w:r>
    </w:p>
    <w:p>
      <w:pPr>
        <w:spacing w:after="60" w:before="60"/>
        <w:jc w:val="center"/>
      </w:pPr>
      <w:r>
        <w:rPr>
          <w:rFonts w:ascii="Arial" w:cs="Arial" w:eastAsia="Arial" w:hAnsi="Arial"/>
          <w:b/>
          <w:bCs/>
          <w:color w:val="B8960C"/>
          <w:sz w:val="26"/>
          <w:szCs w:val="26"/>
        </w:rPr>
        <w:t xml:space="preserve">Community Development Corporation  |  501(c)(3) Charitable Organization</w:t>
      </w:r>
    </w:p>
    <w:p>
      <w:pPr>
        <w:spacing w:after="60" w:before="60"/>
        <w:jc w:val="center"/>
      </w:pPr>
      <w:r>
        <w:rPr>
          <w:rFonts w:ascii="Arial" w:cs="Arial" w:eastAsia="Arial" w:hAnsi="Arial"/>
          <w:color w:val="555555"/>
          <w:sz w:val="22"/>
          <w:szCs w:val="22"/>
        </w:rPr>
        <w:t xml:space="preserve">EIN: 93-4643102  |  NCSOS SOSID: 2665552  |  Greensboro, North Carolina</w:t>
      </w:r>
    </w:p>
    <w:p>
      <w:pPr>
        <w:pBdr>
          <w:bottom w:val="single" w:color="B8960C" w:sz="6" w:space="1"/>
        </w:pBdr>
        <w:spacing w:after="200" w:before="200"/>
      </w:pPr>
      <w:r>
        <w:t xml:space="preserve"/>
      </w:r>
    </w:p>
    <w:p>
      <w:pPr>
        <w:spacing w:after="80" w:before="200"/>
        <w:jc w:val="center"/>
      </w:pPr>
      <w:r>
        <w:rPr>
          <w:rFonts w:ascii="Arial" w:cs="Arial" w:eastAsia="Arial" w:hAnsi="Arial"/>
          <w:b/>
          <w:bCs/>
          <w:caps/>
          <w:color w:val="1B3A6B"/>
          <w:sz w:val="52"/>
          <w:szCs w:val="52"/>
        </w:rPr>
        <w:t xml:space="preserve">PROPERTY ACQUISITION PORTFOLIO</w:t>
      </w:r>
    </w:p>
    <w:p>
      <w:pPr>
        <w:spacing w:after="80" w:before="60"/>
        <w:jc w:val="center"/>
      </w:pPr>
      <w:r>
        <w:rPr>
          <w:rFonts w:ascii="Arial" w:cs="Arial" w:eastAsia="Arial" w:hAnsi="Arial"/>
          <w:color w:val="333333"/>
          <w:sz w:val="28"/>
          <w:szCs w:val="28"/>
        </w:rPr>
        <w:t xml:space="preserve">Residency and Community Development Asset Summary</w:t>
      </w:r>
    </w:p>
    <w:p>
      <w:pPr>
        <w:spacing w:after="120" w:before="60"/>
        <w:jc w:val="center"/>
      </w:pPr>
      <w:r>
        <w:rPr>
          <w:rFonts w:ascii="Arial" w:cs="Arial" w:eastAsia="Arial" w:hAnsi="Arial"/>
          <w:i/>
          <w:iCs/>
          <w:color w:val="555555"/>
          <w:sz w:val="22"/>
          <w:szCs w:val="22"/>
        </w:rPr>
        <w:t xml:space="preserve">Prepared for: Lenders  |  Grantors  |  Development Partners  |  Regulatory Agencies</w:t>
      </w:r>
    </w:p>
    <w:p>
      <w:pPr>
        <w:spacing w:after="480" w:before="60"/>
        <w:jc w:val="center"/>
      </w:pPr>
      <w:r>
        <w:rPr>
          <w:rFonts w:ascii="Arial" w:cs="Arial" w:eastAsia="Arial" w:hAnsi="Arial"/>
          <w:b/>
          <w:bCs/>
          <w:color w:val="1B3A6B"/>
          <w:sz w:val="22"/>
          <w:szCs w:val="22"/>
        </w:rPr>
        <w:t xml:space="preserve">June 2026  |  CONFIDENTIAL</w:t>
      </w:r>
    </w:p>
    <w:p>
      <w:pPr>
        <w:pBdr>
          <w:bottom w:val="single" w:color="B8960C" w:sz="6" w:space="1"/>
        </w:pBdr>
        <w:spacing w:after="200" w:before="200"/>
      </w:pPr>
      <w:r>
        <w:t xml:space="preserve"/>
      </w:r>
    </w:p>
    <w:p>
      <w:pPr>
        <w:pStyle w:val="Heading1"/>
        <w:pBdr>
          <w:bottom w:val="single" w:color="B8960C" w:sz="6" w:space="4"/>
        </w:pBdr>
        <w:spacing w:after="160" w:before="360"/>
      </w:pPr>
      <w:r>
        <w:rPr>
          <w:rFonts w:ascii="Arial" w:cs="Arial" w:eastAsia="Arial" w:hAnsi="Arial"/>
          <w:b/>
          <w:bCs/>
          <w:color w:val="1B3A6B"/>
          <w:sz w:val="32"/>
          <w:szCs w:val="32"/>
        </w:rPr>
        <w:t xml:space="preserve">EXECUTIVE SUMMARY</w:t>
      </w:r>
    </w:p>
    <w:p>
      <w:pPr>
        <w:spacing w:after="80" w:before="80"/>
      </w:pPr>
      <w:r>
        <w:t xml:space="preserve"/>
      </w:r>
    </w:p>
    <w:p>
      <w:pPr>
        <w:spacing w:after="80" w:before="80"/>
      </w:pPr>
      <w:r>
        <w:rPr>
          <w:rFonts w:ascii="Arial" w:cs="Arial" w:eastAsia="Arial" w:hAnsi="Arial"/>
          <w:sz w:val="22"/>
          <w:szCs w:val="22"/>
        </w:rPr>
        <w:t xml:space="preserve">God's Name We Serve Humanity, Inc. ("GNWSH") is a North Carolina-chartered, IRS-recognized 501(c)(3) nonprofit corporation operating as a Community Development Corporation (CDC). The Organization was incorporated April 24, 2023 (NCSOS filing July 11, 2023) and is authorized under North Carolina law to engage in charitable real property acquisition, development, and management in service of its mission.</w:t>
      </w:r>
    </w:p>
    <w:p>
      <w:pPr>
        <w:spacing w:after="80" w:before="80"/>
      </w:pPr>
      <w:r>
        <w:t xml:space="preserve"/>
      </w:r>
    </w:p>
    <w:p>
      <w:pPr>
        <w:spacing w:after="80" w:before="80"/>
      </w:pPr>
      <w:r>
        <w:rPr>
          <w:rFonts w:ascii="Arial" w:cs="Arial" w:eastAsia="Arial" w:hAnsi="Arial"/>
          <w:sz w:val="22"/>
          <w:szCs w:val="22"/>
        </w:rPr>
        <w:t xml:space="preserve">GNWSH's mission is the holistic transformation of individuals who have been displaced — through incarceration, addiction, homelessness, or economic hardship — by providing safe, structured, mission-aligned housing as a foundation for personal restoration and community reintegration.</w:t>
      </w:r>
    </w:p>
    <w:p>
      <w:pPr>
        <w:spacing w:after="80" w:before="80"/>
      </w:pPr>
      <w:r>
        <w:t xml:space="preserve"/>
      </w:r>
    </w:p>
    <w:p>
      <w:pPr>
        <w:spacing w:after="80" w:before="80"/>
      </w:pPr>
      <w:r>
        <w:rPr>
          <w:rFonts w:ascii="Arial" w:cs="Arial" w:eastAsia="Arial" w:hAnsi="Arial"/>
          <w:sz w:val="22"/>
          <w:szCs w:val="22"/>
        </w:rPr>
        <w:t xml:space="preserve">This Portfolio presents GNWSH's current real property assets, development opportunities, and capital infrastructure to authorized lenders, grantors, development partners, and regulatory agencies as part of the Organization's property acquisition strategy for transitional and affordable housing development.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Asset</w:t>
            </w:r>
          </w:p>
        </w:tc>
        <w:tc>
          <w:tcPr>
            <w:tcW w:type="dxa" w:w="31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Key Metric</w:t>
            </w:r>
          </w:p>
        </w:tc>
        <w:tc>
          <w:tcPr>
            <w:tcW w:type="dxa" w:w="31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Development Stage</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Danville, VA Land Parcel</w:t>
            </w:r>
          </w:p>
        </w:tc>
        <w:tc>
          <w:tcPr>
            <w:tcW w:type="dxa" w:w="318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6.75 acres — residential/community use</w:t>
            </w:r>
          </w:p>
        </w:tc>
        <w:tc>
          <w:tcPr>
            <w:tcW w:type="dxa" w:w="318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color w:val="1A6B3A"/>
                <w:sz w:val="20"/>
                <w:szCs w:val="20"/>
              </w:rPr>
              <w:t xml:space="preserve">Pre-development pipeline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St. Johns, AZ ADU Project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2,000-unit ADU development opportunity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6B3A"/>
                <w:sz w:val="20"/>
                <w:szCs w:val="20"/>
              </w:rPr>
              <w:t xml:space="preserve">Partnership structuring</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Operating Credit Facility</w:t>
            </w:r>
          </w:p>
        </w:tc>
        <w:tc>
          <w:tcPr>
            <w:tcW w:type="dxa" w:w="318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$500K – $1M available capital</w:t>
            </w:r>
          </w:p>
        </w:tc>
        <w:tc>
          <w:tcPr>
            <w:tcW w:type="dxa" w:w="318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color w:val="1A6B3A"/>
                <w:sz w:val="20"/>
                <w:szCs w:val="20"/>
              </w:rPr>
              <w:t xml:space="preserve">Active — deployment ready</w:t>
            </w:r>
          </w:p>
        </w:tc>
      </w:tr>
    </w:tbl>
    <w:p>
      <w:pPr>
        <w:pBdr>
          <w:bottom w:val="single" w:color="1B3A6B" w:sz="3" w:space="1"/>
        </w:pBdr>
        <w:spacing w:after="200" w:before="200"/>
      </w:pPr>
      <w:r>
        <w:t xml:space="preserve"/>
      </w:r>
    </w:p>
    <w:p>
      <w:pPr>
        <w:pStyle w:val="Heading1"/>
        <w:pBdr>
          <w:bottom w:val="single" w:color="B8960C" w:sz="6" w:space="4"/>
        </w:pBdr>
        <w:spacing w:after="160" w:before="360"/>
      </w:pPr>
      <w:r>
        <w:rPr>
          <w:rFonts w:ascii="Arial" w:cs="Arial" w:eastAsia="Arial" w:hAnsi="Arial"/>
          <w:b/>
          <w:bCs/>
          <w:color w:val="1B3A6B"/>
          <w:sz w:val="32"/>
          <w:szCs w:val="32"/>
        </w:rPr>
        <w:t xml:space="preserve">SECTION 1 — ORGANIZATIONAL CREDENTIALS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Legal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God's Name We Serve Humanity, Inc.</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Entity Classification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Carolina Nonprofit Corporation</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Federal Tax 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501(c)(3) Charitable Organization</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EIN / Federal TIN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93-4643102</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State Filing (SOSID)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2665552</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Date of Incorporation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24, 2023 (NCSOS Filed July 11, 2023)</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IRS Classification 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C2023 179 01224</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Charitable Purpose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Housing development, economic empowerment, workforce reintegration</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CDC Operating 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Community Development Corporation</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Principal Office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 Shore Lake Drive, Apt H, Greensboro, NC 27455</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Primary County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Guilford County, North Carolina</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Governing Board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of Directors (nonprofit governance — no members)</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Registered Agent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Alessandro S. Imperiale — Greensboro, NC</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Incorporator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 Rufus Farrior / Farrior &amp; Associates — Greensboro, NC</w:t>
            </w:r>
          </w:p>
        </w:tc>
      </w:tr>
    </w:tbl>
    <w:p>
      <w:pPr>
        <w:spacing w:after="80" w:before="80"/>
      </w:pPr>
      <w:r>
        <w:t xml:space="preserve"/>
      </w:r>
    </w:p>
    <w:p>
      <w:pPr>
        <w:spacing w:after="80" w:before="80"/>
      </w:pPr>
      <w:r>
        <w:rPr>
          <w:rFonts w:ascii="Arial" w:cs="Arial" w:eastAsia="Arial" w:hAnsi="Arial"/>
          <w:sz w:val="22"/>
          <w:szCs w:val="22"/>
        </w:rPr>
        <w:t xml:space="preserve">GNWSH's 501(c)(3) designation confirms that the Organization is recognized by the Internal Revenue Service as a tax-exempt charitable organization, and that contributions to GNWSH are deductible by donors under Section 170 of the Internal Revenue Code. The Organization's charitable purpose authorizes real property development, acquisition, and management as instruments of its housing and community development mission.</w:t>
      </w:r>
    </w:p>
    <w:p>
      <w:pPr>
        <w:pBdr>
          <w:bottom w:val="single" w:color="1B3A6B" w:sz="3" w:space="1"/>
        </w:pBdr>
        <w:spacing w:after="200" w:before="200"/>
      </w:pPr>
      <w:r>
        <w:t xml:space="preserve"/>
      </w:r>
    </w:p>
    <w:p>
      <w:pPr>
        <w:pStyle w:val="Heading1"/>
        <w:pBdr>
          <w:bottom w:val="single" w:color="B8960C" w:sz="6" w:space="4"/>
        </w:pBdr>
        <w:spacing w:after="160" w:before="360"/>
      </w:pPr>
      <w:r>
        <w:rPr>
          <w:rFonts w:ascii="Arial" w:cs="Arial" w:eastAsia="Arial" w:hAnsi="Arial"/>
          <w:b/>
          <w:bCs/>
          <w:color w:val="1B3A6B"/>
          <w:sz w:val="32"/>
          <w:szCs w:val="32"/>
        </w:rPr>
        <w:t xml:space="preserve">SECTION 2 — ASSET PROFILE: DANVILLE, VIRGINIA LAND PARCEL</w:t>
      </w:r>
    </w:p>
    <w:p>
      <w:pPr>
        <w:spacing w:after="80" w:before="80"/>
      </w:pPr>
      <w:r>
        <w:t xml:space="preserve"/>
      </w:r>
    </w:p>
    <w:p>
      <w:pPr>
        <w:pStyle w:val="Heading2"/>
        <w:spacing w:after="100" w:before="240"/>
      </w:pPr>
      <w:r>
        <w:rPr>
          <w:rFonts w:ascii="Arial" w:cs="Arial" w:eastAsia="Arial" w:hAnsi="Arial"/>
          <w:b/>
          <w:bCs/>
          <w:color w:val="1B3A6B"/>
          <w:sz w:val="26"/>
          <w:szCs w:val="26"/>
        </w:rPr>
        <w:t xml:space="preserve">2.1 — Asset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Property Location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Danville, Virginia</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State / County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Virginia — Pittsylvania County / City of Danville</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Parcel Size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6.75 acres (6 and 3/4 acres)</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Asset Classification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Undeveloped land — residential/mixed-use development potential</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Ownership 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GNWSH — Community Development Corporation asset</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Current Use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Undeveloped / held for community development</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Development Intent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Transitional housing campus, supportive services facility, or mixed residential development</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Target Population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Individuals transitioning from incarceration, recovery, or homelessness</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Zoning 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confirmed with Danville/Pittsylvania planning authorities</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Environmental 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I environmental site assessment — to be completed</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Development Stage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Pre-development pipeline</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Estimated Capacity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 analysis required — preliminary estimate subject to zoning</w:t>
            </w:r>
          </w:p>
        </w:tc>
      </w:tr>
    </w:tbl>
    <w:p>
      <w:pPr>
        <w:spacing w:after="80" w:before="80"/>
      </w:pPr>
      <w:r>
        <w:t xml:space="preserve"/>
      </w:r>
    </w:p>
    <w:p>
      <w:pPr>
        <w:pStyle w:val="Heading2"/>
        <w:spacing w:after="100" w:before="240"/>
      </w:pPr>
      <w:r>
        <w:rPr>
          <w:rFonts w:ascii="Arial" w:cs="Arial" w:eastAsia="Arial" w:hAnsi="Arial"/>
          <w:b/>
          <w:bCs/>
          <w:color w:val="1B3A6B"/>
          <w:sz w:val="26"/>
          <w:szCs w:val="26"/>
        </w:rPr>
        <w:t xml:space="preserve">2.2 — Development Opportunity</w:t>
      </w:r>
    </w:p>
    <w:p>
      <w:pPr>
        <w:spacing w:after="80" w:before="80"/>
      </w:pPr>
      <w:r>
        <w:rPr>
          <w:rFonts w:ascii="Arial" w:cs="Arial" w:eastAsia="Arial" w:hAnsi="Arial"/>
          <w:sz w:val="22"/>
          <w:szCs w:val="22"/>
        </w:rPr>
        <w:t xml:space="preserve">The Danville parcel represents GNWSH's entry-point development asset in the Virginia market — a region with documented demand for affordable housing, transitional services, and community development investment. Danville, as a former industrial city undergoing revitalization, aligns with GNWSH's mission focus on communities experiencing economic transition.</w:t>
      </w:r>
    </w:p>
    <w:p>
      <w:pPr>
        <w:spacing w:after="80" w:before="80"/>
      </w:pPr>
      <w:r>
        <w:t xml:space="preserve"/>
      </w:r>
    </w:p>
    <w:p>
      <w:pPr>
        <w:spacing w:after="80" w:before="80"/>
      </w:pPr>
      <w:r>
        <w:rPr>
          <w:rFonts w:ascii="Arial" w:cs="Arial" w:eastAsia="Arial" w:hAnsi="Arial"/>
          <w:sz w:val="22"/>
          <w:szCs w:val="22"/>
        </w:rPr>
        <w:t xml:space="preserve">At 6.75 acres, the parcel has the physical capacity to support a phased development including transitional housing units, supportive services space, and community amenity areas, subject to zoning approval and site planning. Financing opportunities include USDA Rural Development programs, Virginia state housing tax credits, HOME Investment Partnerships Program funds, and Community Development Block Grant (CDBG) resources.</w:t>
      </w:r>
    </w:p>
    <w:p>
      <w:pPr>
        <w:spacing w:after="80" w:before="80"/>
      </w:pPr>
      <w:r>
        <w:t xml:space="preserve"/>
      </w:r>
    </w:p>
    <w:p>
      <w:pPr>
        <w:pStyle w:val="Heading2"/>
        <w:spacing w:after="100" w:before="240"/>
      </w:pPr>
      <w:r>
        <w:rPr>
          <w:rFonts w:ascii="Arial" w:cs="Arial" w:eastAsia="Arial" w:hAnsi="Arial"/>
          <w:b/>
          <w:bCs/>
          <w:color w:val="1B3A6B"/>
          <w:sz w:val="26"/>
          <w:szCs w:val="26"/>
        </w:rPr>
        <w:t xml:space="preserve">2.3 — Near-Term Action Plan</w:t>
      </w:r>
    </w:p>
    <w:p>
      <w:pPr>
        <w:pStyle w:val="ListParagraph"/>
        <w:numPr>
          <w:ilvl w:val="0"/>
          <w:numId w:val="2"/>
        </w:numPr>
        <w:spacing w:after="60" w:before="60"/>
      </w:pPr>
      <w:r>
        <w:rPr>
          <w:rFonts w:ascii="Arial" w:cs="Arial" w:eastAsia="Arial" w:hAnsi="Arial"/>
          <w:sz w:val="22"/>
          <w:szCs w:val="22"/>
        </w:rPr>
        <w:t xml:space="preserve">Commission Phase I Environmental Site Assessment;</w:t>
      </w:r>
    </w:p>
    <w:p>
      <w:pPr>
        <w:pStyle w:val="ListParagraph"/>
        <w:numPr>
          <w:ilvl w:val="0"/>
          <w:numId w:val="2"/>
        </w:numPr>
        <w:spacing w:after="60" w:before="60"/>
      </w:pPr>
      <w:r>
        <w:rPr>
          <w:rFonts w:ascii="Arial" w:cs="Arial" w:eastAsia="Arial" w:hAnsi="Arial"/>
          <w:sz w:val="22"/>
          <w:szCs w:val="22"/>
        </w:rPr>
        <w:t xml:space="preserve">Engage Danville/Pittsylvania planning department to confirm zoning and permissible uses;</w:t>
      </w:r>
    </w:p>
    <w:p>
      <w:pPr>
        <w:pStyle w:val="ListParagraph"/>
        <w:numPr>
          <w:ilvl w:val="0"/>
          <w:numId w:val="2"/>
        </w:numPr>
        <w:spacing w:after="60" w:before="60"/>
      </w:pPr>
      <w:r>
        <w:rPr>
          <w:rFonts w:ascii="Arial" w:cs="Arial" w:eastAsia="Arial" w:hAnsi="Arial"/>
          <w:sz w:val="22"/>
          <w:szCs w:val="22"/>
        </w:rPr>
        <w:t xml:space="preserve">Commission site plan and conceptual development design;</w:t>
      </w:r>
    </w:p>
    <w:p>
      <w:pPr>
        <w:pStyle w:val="ListParagraph"/>
        <w:numPr>
          <w:ilvl w:val="0"/>
          <w:numId w:val="2"/>
        </w:numPr>
        <w:spacing w:after="60" w:before="60"/>
      </w:pPr>
      <w:r>
        <w:rPr>
          <w:rFonts w:ascii="Arial" w:cs="Arial" w:eastAsia="Arial" w:hAnsi="Arial"/>
          <w:sz w:val="22"/>
          <w:szCs w:val="22"/>
        </w:rPr>
        <w:t xml:space="preserve">Conduct community needs assessment and stakeholder engagement;</w:t>
      </w:r>
    </w:p>
    <w:p>
      <w:pPr>
        <w:pStyle w:val="ListParagraph"/>
        <w:numPr>
          <w:ilvl w:val="0"/>
          <w:numId w:val="2"/>
        </w:numPr>
        <w:spacing w:after="60" w:before="60"/>
      </w:pPr>
      <w:r>
        <w:rPr>
          <w:rFonts w:ascii="Arial" w:cs="Arial" w:eastAsia="Arial" w:hAnsi="Arial"/>
          <w:sz w:val="22"/>
          <w:szCs w:val="22"/>
        </w:rPr>
        <w:t xml:space="preserve">Assemble pre-development financing package;</w:t>
      </w:r>
    </w:p>
    <w:p>
      <w:pPr>
        <w:pStyle w:val="ListParagraph"/>
        <w:numPr>
          <w:ilvl w:val="0"/>
          <w:numId w:val="2"/>
        </w:numPr>
        <w:spacing w:after="60" w:before="60"/>
      </w:pPr>
      <w:r>
        <w:rPr>
          <w:rFonts w:ascii="Arial" w:cs="Arial" w:eastAsia="Arial" w:hAnsi="Arial"/>
          <w:sz w:val="22"/>
          <w:szCs w:val="22"/>
        </w:rPr>
        <w:t xml:space="preserve">Engage Virginia Housing and/or USDA RD for program eligibility determination.</w:t>
      </w:r>
    </w:p>
    <w:p>
      <w:pPr>
        <w:pBdr>
          <w:bottom w:val="single" w:color="1B3A6B" w:sz="3" w:space="1"/>
        </w:pBdr>
        <w:spacing w:after="200" w:before="200"/>
      </w:pPr>
      <w:r>
        <w:t xml:space="preserve"/>
      </w:r>
    </w:p>
    <w:p>
      <w:pPr>
        <w:pStyle w:val="Heading1"/>
        <w:pBdr>
          <w:bottom w:val="single" w:color="B8960C" w:sz="6" w:space="4"/>
        </w:pBdr>
        <w:spacing w:after="160" w:before="360"/>
      </w:pPr>
      <w:r>
        <w:rPr>
          <w:rFonts w:ascii="Arial" w:cs="Arial" w:eastAsia="Arial" w:hAnsi="Arial"/>
          <w:b/>
          <w:bCs/>
          <w:color w:val="1B3A6B"/>
          <w:sz w:val="32"/>
          <w:szCs w:val="32"/>
        </w:rPr>
        <w:t xml:space="preserve">SECTION 3 — ASSET PROFILE: ST. JOHNS, ARIZONA — ADU DEVELOPMENT OPPORTUNITY</w:t>
      </w:r>
    </w:p>
    <w:p>
      <w:pPr>
        <w:spacing w:after="80" w:before="80"/>
      </w:pPr>
      <w:r>
        <w:t xml:space="preserve"/>
      </w:r>
    </w:p>
    <w:p>
      <w:pPr>
        <w:pStyle w:val="Heading2"/>
        <w:spacing w:after="100" w:before="240"/>
      </w:pPr>
      <w:r>
        <w:rPr>
          <w:rFonts w:ascii="Arial" w:cs="Arial" w:eastAsia="Arial" w:hAnsi="Arial"/>
          <w:b/>
          <w:bCs/>
          <w:color w:val="1B3A6B"/>
          <w:sz w:val="26"/>
          <w:szCs w:val="26"/>
        </w:rPr>
        <w:t xml:space="preserve">3.1 — Opportunity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B3A6B"/>
                <w:sz w:val="20"/>
                <w:szCs w:val="20"/>
              </w:rPr>
              <w:t xml:space="preserve">Location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Johns, Apache County, Arizona</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B3A6B"/>
                <w:sz w:val="20"/>
                <w:szCs w:val="20"/>
              </w:rPr>
              <w:t xml:space="preserve">Opportunity Scale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2,000-unit Accessory Dwelling Unit (ADU) development</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B3A6B"/>
                <w:sz w:val="20"/>
                <w:szCs w:val="20"/>
              </w:rPr>
              <w:t xml:space="preserve">Asset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opportunity — partnership/joint venture structure pending</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B3A6B"/>
                <w:sz w:val="20"/>
                <w:szCs w:val="20"/>
              </w:rPr>
              <w:t xml:space="preserve">Development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Accessory Dwelling Unit (ADU) production — affordable housing supply expansion</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B3A6B"/>
                <w:sz w:val="20"/>
                <w:szCs w:val="20"/>
              </w:rPr>
              <w:t xml:space="preserve">Current Stage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Due diligence / partnership structuring / feasibility</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B3A6B"/>
                <w:sz w:val="20"/>
                <w:szCs w:val="20"/>
              </w:rPr>
              <w:t xml:space="preserve">Market Context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Rural/frontier community with significant housing supply deficit</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B3A6B"/>
                <w:sz w:val="20"/>
                <w:szCs w:val="20"/>
              </w:rPr>
              <w:t xml:space="preserve">Target Population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Workforce families, seniors, essential workers, and community members in need of affordable housing</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B3A6B"/>
                <w:sz w:val="20"/>
                <w:szCs w:val="20"/>
              </w:rPr>
              <w:t xml:space="preserve">Regulatory Environment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Arizona ADU laws, Apache County zoning, State Housing Fund programs</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B3A6B"/>
                <w:sz w:val="20"/>
                <w:szCs w:val="20"/>
              </w:rPr>
              <w:t xml:space="preserve">Financing Approach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and Arizona state affordable housing programs, ADU-specific financing, philanthropic capital, private investment</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B3A6B"/>
                <w:sz w:val="20"/>
                <w:szCs w:val="20"/>
              </w:rPr>
              <w:t xml:space="preserve">Partnership Structure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defined — potential structures include JV with local developer, housing authority partnership, or tribal housing collaboration</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B3A6B"/>
                <w:sz w:val="20"/>
                <w:szCs w:val="20"/>
              </w:rPr>
              <w:t xml:space="preserve">GNWSH Role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charitable sponsor, CDC co-developer, or fiscal sponsor / grant applicant</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B3A6B"/>
                <w:sz w:val="20"/>
                <w:szCs w:val="20"/>
              </w:rPr>
              <w:t xml:space="preserve">Timeline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Subject to feasibility confirmation and partnership execution</w:t>
            </w:r>
          </w:p>
        </w:tc>
      </w:tr>
    </w:tbl>
    <w:p>
      <w:pPr>
        <w:spacing w:after="80" w:before="80"/>
      </w:pPr>
      <w:r>
        <w:t xml:space="preserve"/>
      </w:r>
    </w:p>
    <w:p>
      <w:pPr>
        <w:pStyle w:val="Heading2"/>
        <w:spacing w:after="100" w:before="240"/>
      </w:pPr>
      <w:r>
        <w:rPr>
          <w:rFonts w:ascii="Arial" w:cs="Arial" w:eastAsia="Arial" w:hAnsi="Arial"/>
          <w:b/>
          <w:bCs/>
          <w:color w:val="1B3A6B"/>
          <w:sz w:val="26"/>
          <w:szCs w:val="26"/>
        </w:rPr>
        <w:t xml:space="preserve">3.2 — ADU Development Framework</w:t>
      </w:r>
    </w:p>
    <w:p>
      <w:pPr>
        <w:spacing w:after="80" w:before="80"/>
      </w:pPr>
      <w:r>
        <w:rPr>
          <w:rFonts w:ascii="Arial" w:cs="Arial" w:eastAsia="Arial" w:hAnsi="Arial"/>
          <w:sz w:val="22"/>
          <w:szCs w:val="22"/>
        </w:rPr>
        <w:t xml:space="preserve">The St. Johns opportunity represents a large-scale ADU development initiative that, if executed, would be one of the most significant affordable housing supply expansions in Apache County's history. ADUs — secondary housing units built on existing residential parcels — provide a cost-effective, community-integrated model for affordable housing production without the land acquisition costs of traditional multifamily development.</w:t>
      </w:r>
    </w:p>
    <w:p>
      <w:pPr>
        <w:spacing w:after="80" w:before="80"/>
      </w:pPr>
      <w:r>
        <w:t xml:space="preserve"/>
      </w:r>
    </w:p>
    <w:p>
      <w:pPr>
        <w:spacing w:after="80" w:before="80"/>
      </w:pPr>
      <w:r>
        <w:rPr>
          <w:rFonts w:ascii="Arial" w:cs="Arial" w:eastAsia="Arial" w:hAnsi="Arial"/>
          <w:sz w:val="22"/>
          <w:szCs w:val="22"/>
        </w:rPr>
        <w:t xml:space="preserve">At 2,000 units, this project would require a phased, multi-year development approach with diversified capital stacks including: federal Low-Income Housing Tax Credits (LIHTC), HOME funds, USDA Section 515/514 rural housing programs, Arizona Housing Finance Authority resources, philanthropic grants, and structured debt financing through CDFI lenders.</w:t>
      </w:r>
    </w:p>
    <w:p>
      <w:pPr>
        <w:spacing w:after="80" w:before="80"/>
      </w:pPr>
      <w:r>
        <w:t xml:space="preserve"/>
      </w:r>
    </w:p>
    <w:p>
      <w:pPr>
        <w:pStyle w:val="Heading2"/>
        <w:spacing w:after="100" w:before="240"/>
      </w:pPr>
      <w:r>
        <w:rPr>
          <w:rFonts w:ascii="Arial" w:cs="Arial" w:eastAsia="Arial" w:hAnsi="Arial"/>
          <w:b/>
          <w:bCs/>
          <w:color w:val="1B3A6B"/>
          <w:sz w:val="26"/>
          <w:szCs w:val="26"/>
        </w:rPr>
        <w:t xml:space="preserve">3.3 — Due Diligence Requirements</w:t>
      </w:r>
    </w:p>
    <w:p>
      <w:pPr>
        <w:pStyle w:val="ListParagraph"/>
        <w:numPr>
          <w:ilvl w:val="0"/>
          <w:numId w:val="2"/>
        </w:numPr>
        <w:spacing w:after="60" w:before="60"/>
      </w:pPr>
      <w:r>
        <w:rPr>
          <w:rFonts w:ascii="Arial" w:cs="Arial" w:eastAsia="Arial" w:hAnsi="Arial"/>
          <w:sz w:val="22"/>
          <w:szCs w:val="22"/>
        </w:rPr>
        <w:t xml:space="preserve">Market and demand study: household income levels, housing cost burden, vacancy rates, absorption potential;</w:t>
      </w:r>
    </w:p>
    <w:p>
      <w:pPr>
        <w:pStyle w:val="ListParagraph"/>
        <w:numPr>
          <w:ilvl w:val="0"/>
          <w:numId w:val="2"/>
        </w:numPr>
        <w:spacing w:after="60" w:before="60"/>
      </w:pPr>
      <w:r>
        <w:rPr>
          <w:rFonts w:ascii="Arial" w:cs="Arial" w:eastAsia="Arial" w:hAnsi="Arial"/>
          <w:sz w:val="22"/>
          <w:szCs w:val="22"/>
        </w:rPr>
        <w:t xml:space="preserve">Regulatory analysis: Apache County ADU regulations, Arizona state ADU enabling law, land use compliance;</w:t>
      </w:r>
    </w:p>
    <w:p>
      <w:pPr>
        <w:pStyle w:val="ListParagraph"/>
        <w:numPr>
          <w:ilvl w:val="0"/>
          <w:numId w:val="2"/>
        </w:numPr>
        <w:spacing w:after="60" w:before="60"/>
      </w:pPr>
      <w:r>
        <w:rPr>
          <w:rFonts w:ascii="Arial" w:cs="Arial" w:eastAsia="Arial" w:hAnsi="Arial"/>
          <w:sz w:val="22"/>
          <w:szCs w:val="22"/>
        </w:rPr>
        <w:t xml:space="preserve">Site control strategy: individual lot partnerships, land bank acquisition, or municipality agreement;</w:t>
      </w:r>
    </w:p>
    <w:p>
      <w:pPr>
        <w:pStyle w:val="ListParagraph"/>
        <w:numPr>
          <w:ilvl w:val="0"/>
          <w:numId w:val="2"/>
        </w:numPr>
        <w:spacing w:after="60" w:before="60"/>
      </w:pPr>
      <w:r>
        <w:rPr>
          <w:rFonts w:ascii="Arial" w:cs="Arial" w:eastAsia="Arial" w:hAnsi="Arial"/>
          <w:sz w:val="22"/>
          <w:szCs w:val="22"/>
        </w:rPr>
        <w:t xml:space="preserve">Partnership term sheet: define roles, equity contributions, and revenue sharing between GNWSH and development partners;</w:t>
      </w:r>
    </w:p>
    <w:p>
      <w:pPr>
        <w:pStyle w:val="ListParagraph"/>
        <w:numPr>
          <w:ilvl w:val="0"/>
          <w:numId w:val="2"/>
        </w:numPr>
        <w:spacing w:after="60" w:before="60"/>
      </w:pPr>
      <w:r>
        <w:rPr>
          <w:rFonts w:ascii="Arial" w:cs="Arial" w:eastAsia="Arial" w:hAnsi="Arial"/>
          <w:sz w:val="22"/>
          <w:szCs w:val="22"/>
        </w:rPr>
        <w:t xml:space="preserve">Capital stack analysis: identify applicable federal and state programs and required match/equity contributions;</w:t>
      </w:r>
    </w:p>
    <w:p>
      <w:pPr>
        <w:pStyle w:val="ListParagraph"/>
        <w:numPr>
          <w:ilvl w:val="0"/>
          <w:numId w:val="2"/>
        </w:numPr>
        <w:spacing w:after="60" w:before="60"/>
      </w:pPr>
      <w:r>
        <w:rPr>
          <w:rFonts w:ascii="Arial" w:cs="Arial" w:eastAsia="Arial" w:hAnsi="Arial"/>
          <w:sz w:val="22"/>
          <w:szCs w:val="22"/>
        </w:rPr>
        <w:t xml:space="preserve">Legal structure: LLC or LP formation for development entity with GNWSH as managing or co-managing member;</w:t>
      </w:r>
    </w:p>
    <w:p>
      <w:pPr>
        <w:pStyle w:val="ListParagraph"/>
        <w:numPr>
          <w:ilvl w:val="0"/>
          <w:numId w:val="2"/>
        </w:numPr>
        <w:spacing w:after="60" w:before="60"/>
      </w:pPr>
      <w:r>
        <w:rPr>
          <w:rFonts w:ascii="Arial" w:cs="Arial" w:eastAsia="Arial" w:hAnsi="Arial"/>
          <w:sz w:val="22"/>
          <w:szCs w:val="22"/>
        </w:rPr>
        <w:t xml:space="preserve">Federal program eligibility: HUD, USDA, and CDFI program qualification assessment.</w:t>
      </w:r>
    </w:p>
    <w:p>
      <w:pPr>
        <w:spacing w:after="80" w:before="80"/>
      </w:pPr>
      <w:r>
        <w:t xml:space="preserve"/>
      </w:r>
    </w:p>
    <w:p>
      <w:pPr>
        <w:pStyle w:val="Heading2"/>
        <w:spacing w:after="100" w:before="240"/>
      </w:pPr>
      <w:r>
        <w:rPr>
          <w:rFonts w:ascii="Arial" w:cs="Arial" w:eastAsia="Arial" w:hAnsi="Arial"/>
          <w:b/>
          <w:bCs/>
          <w:color w:val="1B3A6B"/>
          <w:sz w:val="26"/>
          <w:szCs w:val="26"/>
        </w:rPr>
        <w:t xml:space="preserve">3.4 — Strategic Significance</w:t>
      </w:r>
    </w:p>
    <w:p>
      <w:pPr>
        <w:spacing w:after="80" w:before="80"/>
      </w:pPr>
      <w:r>
        <w:rPr>
          <w:rFonts w:ascii="Arial" w:cs="Arial" w:eastAsia="Arial" w:hAnsi="Arial"/>
          <w:sz w:val="22"/>
          <w:szCs w:val="22"/>
        </w:rPr>
        <w:t xml:space="preserve">The St. Johns ADU project, if fully realized, would establish GNWSH as a nationally significant CDC with demonstrated capacity to execute large-scale affordable housing development. This project could serve as a model for faith-based CDC development in rural and frontier markets and attract national philanthropic attention, federal program investment, and impact-focused private capital.</w:t>
      </w:r>
    </w:p>
    <w:p>
      <w:pPr>
        <w:pBdr>
          <w:bottom w:val="single" w:color="1B3A6B" w:sz="3" w:space="1"/>
        </w:pBdr>
        <w:spacing w:after="200" w:before="200"/>
      </w:pPr>
      <w:r>
        <w:t xml:space="preserve"/>
      </w:r>
    </w:p>
    <w:p>
      <w:pPr>
        <w:pStyle w:val="Heading1"/>
        <w:pBdr>
          <w:bottom w:val="single" w:color="B8960C" w:sz="6" w:space="4"/>
        </w:pBdr>
        <w:spacing w:after="160" w:before="360"/>
      </w:pPr>
      <w:r>
        <w:rPr>
          <w:rFonts w:ascii="Arial" w:cs="Arial" w:eastAsia="Arial" w:hAnsi="Arial"/>
          <w:b/>
          <w:bCs/>
          <w:color w:val="1B3A6B"/>
          <w:sz w:val="32"/>
          <w:szCs w:val="32"/>
        </w:rPr>
        <w:t xml:space="preserve">SECTION 4 — CAPITAL STRUCTURE AND FINANCING CAPACITY</w:t>
      </w:r>
    </w:p>
    <w:p>
      <w:pPr>
        <w:spacing w:after="80" w:before="80"/>
      </w:pPr>
      <w:r>
        <w:t xml:space="preserve"/>
      </w:r>
    </w:p>
    <w:p>
      <w:pPr>
        <w:pStyle w:val="Heading2"/>
        <w:spacing w:after="100" w:before="240"/>
      </w:pPr>
      <w:r>
        <w:rPr>
          <w:rFonts w:ascii="Arial" w:cs="Arial" w:eastAsia="Arial" w:hAnsi="Arial"/>
          <w:b/>
          <w:bCs/>
          <w:color w:val="1B3A6B"/>
          <w:sz w:val="26"/>
          <w:szCs w:val="26"/>
        </w:rPr>
        <w:t xml:space="preserve">4.1 — Operating Credit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Instrument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Line / Construction Bridge Loan / Operating Facility</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Available Capital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 to $1,000,000</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deployment ready</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Primary Purpose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acquisition down payments, pre-development costs, bridge financing, working capital</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Draw Authority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Board-authorized draw schedule per approved project budgets</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Repayment Source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revenues, grant receipts, permanent financing takeout</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Interest / Terms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credit agreement — details on file with Finance Committee</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Security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credit agreement — any property pledge requires Board authorization</w:t>
            </w:r>
          </w:p>
        </w:tc>
      </w:tr>
    </w:tbl>
    <w:p>
      <w:pPr>
        <w:spacing w:after="80" w:before="80"/>
      </w:pPr>
      <w:r>
        <w:t xml:space="preserve"/>
      </w:r>
    </w:p>
    <w:p>
      <w:pPr>
        <w:pStyle w:val="Heading2"/>
        <w:spacing w:after="100" w:before="240"/>
      </w:pPr>
      <w:r>
        <w:rPr>
          <w:rFonts w:ascii="Arial" w:cs="Arial" w:eastAsia="Arial" w:hAnsi="Arial"/>
          <w:b/>
          <w:bCs/>
          <w:color w:val="1B3A6B"/>
          <w:sz w:val="26"/>
          <w:szCs w:val="26"/>
        </w:rPr>
        <w:t xml:space="preserve">4.2 — Capital Deployment Strategy</w:t>
      </w:r>
    </w:p>
    <w:p>
      <w:pPr>
        <w:spacing w:after="80" w:before="80"/>
      </w:pPr>
      <w:r>
        <w:rPr>
          <w:rFonts w:ascii="Arial" w:cs="Arial" w:eastAsia="Arial" w:hAnsi="Arial"/>
          <w:sz w:val="22"/>
          <w:szCs w:val="22"/>
        </w:rPr>
        <w:t xml:space="preserve">GNWSH's credit facility is the first layer of a multi-source capital stack designed to leverage the Organization's charitable status and CDC credentials to access mission-aligned financing. The deployment strategy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 in Stack</w:t>
            </w:r>
          </w:p>
        </w:tc>
      </w:tr>
      <w:tr>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Layer 1</w:t>
            </w:r>
          </w:p>
        </w:tc>
        <w:tc>
          <w:tcPr>
            <w:tcW w:type="dxa" w:w="3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GNWSH Credit Facility ($500K-$1M)</w:t>
            </w:r>
          </w:p>
        </w:tc>
        <w:tc>
          <w:tcPr>
            <w:tcW w:type="dxa" w:w="4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Pre-development, acquisition deposits, bridge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Layer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Federal Grants (HUD/USDA/HOME)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capital for affordable housing development</w:t>
            </w:r>
          </w:p>
        </w:tc>
      </w:tr>
      <w:tr>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Layer 3</w:t>
            </w:r>
          </w:p>
        </w:tc>
        <w:tc>
          <w:tcPr>
            <w:tcW w:type="dxa" w:w="3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State Housing Resources (NC/VA/AZ)</w:t>
            </w:r>
          </w:p>
        </w:tc>
        <w:tc>
          <w:tcPr>
            <w:tcW w:type="dxa" w:w="4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Gap financing, soft loans, tax credits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Layer 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CDFI / Impact Lenders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 debt, permanent financing</w:t>
            </w:r>
          </w:p>
        </w:tc>
      </w:tr>
      <w:tr>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Layer 5</w:t>
            </w:r>
          </w:p>
        </w:tc>
        <w:tc>
          <w:tcPr>
            <w:tcW w:type="dxa" w:w="3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Philanthropic Grants</w:t>
            </w:r>
          </w:p>
        </w:tc>
        <w:tc>
          <w:tcPr>
            <w:tcW w:type="dxa" w:w="4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Supportive services, operating, capacity-building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Layer 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Investment (JV/LP)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Market-rate layer in mixed-income structures</w:t>
            </w:r>
          </w:p>
        </w:tc>
      </w:tr>
    </w:tbl>
    <w:p>
      <w:pPr>
        <w:pBdr>
          <w:bottom w:val="single" w:color="1B3A6B" w:sz="3" w:space="1"/>
        </w:pBdr>
        <w:spacing w:after="200" w:before="200"/>
      </w:pPr>
      <w:r>
        <w:t xml:space="preserve"/>
      </w:r>
    </w:p>
    <w:p>
      <w:pPr>
        <w:pStyle w:val="Heading1"/>
        <w:pBdr>
          <w:bottom w:val="single" w:color="B8960C" w:sz="6" w:space="4"/>
        </w:pBdr>
        <w:spacing w:after="160" w:before="360"/>
      </w:pPr>
      <w:r>
        <w:rPr>
          <w:rFonts w:ascii="Arial" w:cs="Arial" w:eastAsia="Arial" w:hAnsi="Arial"/>
          <w:b/>
          <w:bCs/>
          <w:color w:val="1B3A6B"/>
          <w:sz w:val="32"/>
          <w:szCs w:val="32"/>
        </w:rPr>
        <w:t xml:space="preserve">SECTION 5 — TAX STATUS, LEGAL, AND COMPLIANCE CREDENTIALS</w:t>
      </w:r>
    </w:p>
    <w:p>
      <w:pPr>
        <w:spacing w:after="80" w:before="80"/>
      </w:pPr>
      <w:r>
        <w:t xml:space="preserve"/>
      </w:r>
    </w:p>
    <w:p>
      <w:pPr>
        <w:pStyle w:val="Heading2"/>
        <w:spacing w:after="100" w:before="240"/>
      </w:pPr>
      <w:r>
        <w:rPr>
          <w:rFonts w:ascii="Arial" w:cs="Arial" w:eastAsia="Arial" w:hAnsi="Arial"/>
          <w:b/>
          <w:bCs/>
          <w:color w:val="1B3A6B"/>
          <w:sz w:val="26"/>
          <w:szCs w:val="26"/>
        </w:rPr>
        <w:t xml:space="preserve">5.1 — Federal Tax-Exempt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IRS Recognition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501(c)(3) — Charitable Organization</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EIN / TIN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93-4643102</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IRS Purpose Classification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Charitable — housing, economic development, human services</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Private Benefit Prohibition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net earnings inure to benefit of private individuals</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Political Activity Prohibition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Corporation does not engage in partisan political activity</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Contribution Deductibility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Charitable contributions deductible under IRC Section 170</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Applicable Distribution Restrictions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Upon dissolution, assets distributed to 501(c)(3) or government entity per Articles of Incorporation</w:t>
            </w:r>
          </w:p>
        </w:tc>
      </w:tr>
    </w:tbl>
    <w:p>
      <w:pPr>
        <w:spacing w:after="80" w:before="80"/>
      </w:pPr>
      <w:r>
        <w:t xml:space="preserve"/>
      </w:r>
    </w:p>
    <w:p>
      <w:pPr>
        <w:pStyle w:val="Heading2"/>
        <w:spacing w:after="100" w:before="240"/>
      </w:pPr>
      <w:r>
        <w:rPr>
          <w:rFonts w:ascii="Arial" w:cs="Arial" w:eastAsia="Arial" w:hAnsi="Arial"/>
          <w:b/>
          <w:bCs/>
          <w:color w:val="1B3A6B"/>
          <w:sz w:val="26"/>
          <w:szCs w:val="26"/>
        </w:rPr>
        <w:t xml:space="preserve">5.2 — North Carolina State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State of Incorporation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Carolina</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SOSID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2665552</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Articles Filed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July 11, 2023 — NC Secretary of State, Elaine F. Marshall</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Corporate 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Nonprofit Corporation</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Required Annual Filings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NC Secretary of State Annual Report; IRS Form 990</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Charitable Solicitation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Subject to NC Solicitation of Contributions Act registration requirements</w:t>
            </w:r>
          </w:p>
        </w:tc>
      </w:tr>
      <w:tr>
        <w:tc>
          <w:tcPr>
            <w:tcW w:type="dxa" w:w="3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1B3A6B"/>
                <w:sz w:val="20"/>
                <w:szCs w:val="20"/>
              </w:rPr>
              <w:t xml:space="preserve">Property Tax Exemption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Eligible for NC property tax exemption on properties used for exempt purpose — apply per county</w:t>
            </w:r>
          </w:p>
        </w:tc>
      </w:tr>
    </w:tbl>
    <w:p>
      <w:pPr>
        <w:spacing w:after="80" w:before="80"/>
      </w:pPr>
      <w:r>
        <w:t xml:space="preserve"/>
      </w:r>
    </w:p>
    <w:p>
      <w:pPr>
        <w:pStyle w:val="Heading2"/>
        <w:spacing w:after="100" w:before="240"/>
      </w:pPr>
      <w:r>
        <w:rPr>
          <w:rFonts w:ascii="Arial" w:cs="Arial" w:eastAsia="Arial" w:hAnsi="Arial"/>
          <w:b/>
          <w:bCs/>
          <w:color w:val="1B3A6B"/>
          <w:sz w:val="26"/>
          <w:szCs w:val="26"/>
        </w:rPr>
        <w:t xml:space="preserve">5.3 — Required Document Set for Property Transactions</w:t>
      </w:r>
    </w:p>
    <w:p>
      <w:pPr>
        <w:spacing w:after="80" w:before="80"/>
      </w:pPr>
      <w:r>
        <w:rPr>
          <w:rFonts w:ascii="Arial" w:cs="Arial" w:eastAsia="Arial" w:hAnsi="Arial"/>
          <w:sz w:val="22"/>
          <w:szCs w:val="22"/>
        </w:rPr>
        <w:t xml:space="preserve">For each property acquisition, the following documents shall be assembled and maintained in the Organization's property file:</w:t>
      </w:r>
    </w:p>
    <w:p>
      <w:pPr>
        <w:pStyle w:val="ListParagraph"/>
        <w:numPr>
          <w:ilvl w:val="0"/>
          <w:numId w:val="2"/>
        </w:numPr>
        <w:spacing w:after="60" w:before="60"/>
      </w:pPr>
      <w:r>
        <w:rPr>
          <w:rFonts w:ascii="Arial" w:cs="Arial" w:eastAsia="Arial" w:hAnsi="Arial"/>
          <w:sz w:val="22"/>
          <w:szCs w:val="22"/>
        </w:rPr>
        <w:t xml:space="preserve">Articles of Incorporation (NCSOS) and all amendments;</w:t>
      </w:r>
    </w:p>
    <w:p>
      <w:pPr>
        <w:pStyle w:val="ListParagraph"/>
        <w:numPr>
          <w:ilvl w:val="0"/>
          <w:numId w:val="2"/>
        </w:numPr>
        <w:spacing w:after="60" w:before="60"/>
      </w:pPr>
      <w:r>
        <w:rPr>
          <w:rFonts w:ascii="Arial" w:cs="Arial" w:eastAsia="Arial" w:hAnsi="Arial"/>
          <w:sz w:val="22"/>
          <w:szCs w:val="22"/>
        </w:rPr>
        <w:t xml:space="preserve">Current Bylaws and Operating Agreement;</w:t>
      </w:r>
    </w:p>
    <w:p>
      <w:pPr>
        <w:pStyle w:val="ListParagraph"/>
        <w:numPr>
          <w:ilvl w:val="0"/>
          <w:numId w:val="2"/>
        </w:numPr>
        <w:spacing w:after="60" w:before="60"/>
      </w:pPr>
      <w:r>
        <w:rPr>
          <w:rFonts w:ascii="Arial" w:cs="Arial" w:eastAsia="Arial" w:hAnsi="Arial"/>
          <w:sz w:val="22"/>
          <w:szCs w:val="22"/>
        </w:rPr>
        <w:t xml:space="preserve">IRS 501(c)(3) Determination Letter (or EIN confirmation with 501(c)(3) status);</w:t>
      </w:r>
    </w:p>
    <w:p>
      <w:pPr>
        <w:pStyle w:val="ListParagraph"/>
        <w:numPr>
          <w:ilvl w:val="0"/>
          <w:numId w:val="2"/>
        </w:numPr>
        <w:spacing w:after="60" w:before="60"/>
      </w:pPr>
      <w:r>
        <w:rPr>
          <w:rFonts w:ascii="Arial" w:cs="Arial" w:eastAsia="Arial" w:hAnsi="Arial"/>
          <w:sz w:val="22"/>
          <w:szCs w:val="22"/>
        </w:rPr>
        <w:t xml:space="preserve">Board Resolution authorizing the specific acquisition;</w:t>
      </w:r>
    </w:p>
    <w:p>
      <w:pPr>
        <w:pStyle w:val="ListParagraph"/>
        <w:numPr>
          <w:ilvl w:val="0"/>
          <w:numId w:val="2"/>
        </w:numPr>
        <w:spacing w:after="60" w:before="60"/>
      </w:pPr>
      <w:r>
        <w:rPr>
          <w:rFonts w:ascii="Arial" w:cs="Arial" w:eastAsia="Arial" w:hAnsi="Arial"/>
          <w:sz w:val="22"/>
          <w:szCs w:val="22"/>
        </w:rPr>
        <w:t xml:space="preserve">Purchase and Sale Agreement;</w:t>
      </w:r>
    </w:p>
    <w:p>
      <w:pPr>
        <w:pStyle w:val="ListParagraph"/>
        <w:numPr>
          <w:ilvl w:val="0"/>
          <w:numId w:val="2"/>
        </w:numPr>
        <w:spacing w:after="60" w:before="60"/>
      </w:pPr>
      <w:r>
        <w:rPr>
          <w:rFonts w:ascii="Arial" w:cs="Arial" w:eastAsia="Arial" w:hAnsi="Arial"/>
          <w:sz w:val="22"/>
          <w:szCs w:val="22"/>
        </w:rPr>
        <w:t xml:space="preserve">Title insurance commitment and final policy;</w:t>
      </w:r>
    </w:p>
    <w:p>
      <w:pPr>
        <w:pStyle w:val="ListParagraph"/>
        <w:numPr>
          <w:ilvl w:val="0"/>
          <w:numId w:val="2"/>
        </w:numPr>
        <w:spacing w:after="60" w:before="60"/>
      </w:pPr>
      <w:r>
        <w:rPr>
          <w:rFonts w:ascii="Arial" w:cs="Arial" w:eastAsia="Arial" w:hAnsi="Arial"/>
          <w:sz w:val="22"/>
          <w:szCs w:val="22"/>
        </w:rPr>
        <w:t xml:space="preserve">Phase I Environmental Site Assessment;</w:t>
      </w:r>
    </w:p>
    <w:p>
      <w:pPr>
        <w:pStyle w:val="ListParagraph"/>
        <w:numPr>
          <w:ilvl w:val="0"/>
          <w:numId w:val="2"/>
        </w:numPr>
        <w:spacing w:after="60" w:before="60"/>
      </w:pPr>
      <w:r>
        <w:rPr>
          <w:rFonts w:ascii="Arial" w:cs="Arial" w:eastAsia="Arial" w:hAnsi="Arial"/>
          <w:sz w:val="22"/>
          <w:szCs w:val="22"/>
        </w:rPr>
        <w:t xml:space="preserve">Survey (if applicable);</w:t>
      </w:r>
    </w:p>
    <w:p>
      <w:pPr>
        <w:pStyle w:val="ListParagraph"/>
        <w:numPr>
          <w:ilvl w:val="0"/>
          <w:numId w:val="2"/>
        </w:numPr>
        <w:spacing w:after="60" w:before="60"/>
      </w:pPr>
      <w:r>
        <w:rPr>
          <w:rFonts w:ascii="Arial" w:cs="Arial" w:eastAsia="Arial" w:hAnsi="Arial"/>
          <w:sz w:val="22"/>
          <w:szCs w:val="22"/>
        </w:rPr>
        <w:t xml:space="preserve">Appraisal (required for federally-assisted transactions);</w:t>
      </w:r>
    </w:p>
    <w:p>
      <w:pPr>
        <w:pStyle w:val="ListParagraph"/>
        <w:numPr>
          <w:ilvl w:val="0"/>
          <w:numId w:val="2"/>
        </w:numPr>
        <w:spacing w:after="60" w:before="60"/>
      </w:pPr>
      <w:r>
        <w:rPr>
          <w:rFonts w:ascii="Arial" w:cs="Arial" w:eastAsia="Arial" w:hAnsi="Arial"/>
          <w:sz w:val="22"/>
          <w:szCs w:val="22"/>
        </w:rPr>
        <w:t xml:space="preserve">Financing documents (note, mortgage, loan agreement);</w:t>
      </w:r>
    </w:p>
    <w:p>
      <w:pPr>
        <w:pStyle w:val="ListParagraph"/>
        <w:numPr>
          <w:ilvl w:val="0"/>
          <w:numId w:val="2"/>
        </w:numPr>
        <w:spacing w:after="60" w:before="60"/>
      </w:pPr>
      <w:r>
        <w:rPr>
          <w:rFonts w:ascii="Arial" w:cs="Arial" w:eastAsia="Arial" w:hAnsi="Arial"/>
          <w:sz w:val="22"/>
          <w:szCs w:val="22"/>
        </w:rPr>
        <w:t xml:space="preserve">Closing statement (HUD-1 or ALTA Settlement Statement);</w:t>
      </w:r>
    </w:p>
    <w:p>
      <w:pPr>
        <w:pStyle w:val="ListParagraph"/>
        <w:numPr>
          <w:ilvl w:val="0"/>
          <w:numId w:val="2"/>
        </w:numPr>
        <w:spacing w:after="60" w:before="60"/>
      </w:pPr>
      <w:r>
        <w:rPr>
          <w:rFonts w:ascii="Arial" w:cs="Arial" w:eastAsia="Arial" w:hAnsi="Arial"/>
          <w:sz w:val="22"/>
          <w:szCs w:val="22"/>
        </w:rPr>
        <w:t xml:space="preserve">Recorded deed in name of Corporation or authorized subsidiary.</w:t>
      </w:r>
    </w:p>
    <w:p>
      <w:pPr>
        <w:pBdr>
          <w:bottom w:val="single" w:color="1B3A6B" w:sz="3" w:space="1"/>
        </w:pBdr>
        <w:spacing w:after="200" w:before="200"/>
      </w:pPr>
      <w:r>
        <w:t xml:space="preserve"/>
      </w:r>
    </w:p>
    <w:p>
      <w:pPr>
        <w:pStyle w:val="Heading1"/>
        <w:pBdr>
          <w:bottom w:val="single" w:color="B8960C" w:sz="6" w:space="4"/>
        </w:pBdr>
        <w:spacing w:after="160" w:before="360"/>
      </w:pPr>
      <w:r>
        <w:rPr>
          <w:rFonts w:ascii="Arial" w:cs="Arial" w:eastAsia="Arial" w:hAnsi="Arial"/>
          <w:b/>
          <w:bCs/>
          <w:color w:val="1B3A6B"/>
          <w:sz w:val="32"/>
          <w:szCs w:val="32"/>
        </w:rPr>
        <w:t xml:space="preserve">SECTION 6 — MISSION NARRATIVE AND POPULATION SERVED</w:t>
      </w:r>
    </w:p>
    <w:p>
      <w:pPr>
        <w:spacing w:after="80" w:before="80"/>
      </w:pPr>
      <w:r>
        <w:t xml:space="preserve"/>
      </w:r>
    </w:p>
    <w:p>
      <w:pPr>
        <w:pStyle w:val="Heading2"/>
        <w:spacing w:after="100" w:before="240"/>
      </w:pPr>
      <w:r>
        <w:rPr>
          <w:rFonts w:ascii="Arial" w:cs="Arial" w:eastAsia="Arial" w:hAnsi="Arial"/>
          <w:b/>
          <w:bCs/>
          <w:color w:val="1B3A6B"/>
          <w:sz w:val="26"/>
          <w:szCs w:val="26"/>
        </w:rPr>
        <w:t xml:space="preserve">6.1 — Who We Serve</w:t>
      </w:r>
    </w:p>
    <w:p>
      <w:pPr>
        <w:spacing w:after="80" w:before="80"/>
      </w:pPr>
      <w:r>
        <w:rPr>
          <w:rFonts w:ascii="Arial" w:cs="Arial" w:eastAsia="Arial" w:hAnsi="Arial"/>
          <w:sz w:val="22"/>
          <w:szCs w:val="22"/>
        </w:rPr>
        <w:t xml:space="preserve">God's Name We Serve Humanity, Inc. exists to serve individuals and families who have been pushed to the margins — by the criminal justice system, by addiction, by economic collapse, by displacement. The Organization's housing development work is not abstract: it is the physical expression of a conviction that every human being deserves a safe place to land, a structured path forward, and a community that believes in their restoration.</w:t>
      </w:r>
    </w:p>
    <w:p>
      <w:pPr>
        <w:spacing w:after="80" w:before="80"/>
      </w:pPr>
      <w:r>
        <w:t xml:space="preserve"/>
      </w:r>
    </w:p>
    <w:p>
      <w:pPr>
        <w:spacing w:after="80" w:before="80"/>
      </w:pPr>
      <w:r>
        <w:rPr>
          <w:rFonts w:ascii="Arial" w:cs="Arial" w:eastAsia="Arial" w:hAnsi="Arial"/>
          <w:sz w:val="22"/>
          <w:szCs w:val="22"/>
        </w:rPr>
        <w:t xml:space="preserve">GNWSH's target populations include:</w:t>
      </w:r>
    </w:p>
    <w:p>
      <w:pPr>
        <w:pStyle w:val="ListParagraph"/>
        <w:numPr>
          <w:ilvl w:val="0"/>
          <w:numId w:val="2"/>
        </w:numPr>
        <w:spacing w:after="60" w:before="60"/>
      </w:pPr>
      <w:r>
        <w:rPr>
          <w:rFonts w:ascii="Arial" w:cs="Arial" w:eastAsia="Arial" w:hAnsi="Arial"/>
          <w:sz w:val="22"/>
          <w:szCs w:val="22"/>
        </w:rPr>
        <w:t xml:space="preserve">Individuals returning from incarceration seeking stable transitional housing;</w:t>
      </w:r>
    </w:p>
    <w:p>
      <w:pPr>
        <w:pStyle w:val="ListParagraph"/>
        <w:numPr>
          <w:ilvl w:val="0"/>
          <w:numId w:val="2"/>
        </w:numPr>
        <w:spacing w:after="60" w:before="60"/>
      </w:pPr>
      <w:r>
        <w:rPr>
          <w:rFonts w:ascii="Arial" w:cs="Arial" w:eastAsia="Arial" w:hAnsi="Arial"/>
          <w:sz w:val="22"/>
          <w:szCs w:val="22"/>
        </w:rPr>
        <w:t xml:space="preserve">Individuals in recovery from substance use disorder needing structured residential environments;</w:t>
      </w:r>
    </w:p>
    <w:p>
      <w:pPr>
        <w:pStyle w:val="ListParagraph"/>
        <w:numPr>
          <w:ilvl w:val="0"/>
          <w:numId w:val="2"/>
        </w:numPr>
        <w:spacing w:after="60" w:before="60"/>
      </w:pPr>
      <w:r>
        <w:rPr>
          <w:rFonts w:ascii="Arial" w:cs="Arial" w:eastAsia="Arial" w:hAnsi="Arial"/>
          <w:sz w:val="22"/>
          <w:szCs w:val="22"/>
        </w:rPr>
        <w:t xml:space="preserve">Families experiencing homelessness or housing instability;</w:t>
      </w:r>
    </w:p>
    <w:p>
      <w:pPr>
        <w:pStyle w:val="ListParagraph"/>
        <w:numPr>
          <w:ilvl w:val="0"/>
          <w:numId w:val="2"/>
        </w:numPr>
        <w:spacing w:after="60" w:before="60"/>
      </w:pPr>
      <w:r>
        <w:rPr>
          <w:rFonts w:ascii="Arial" w:cs="Arial" w:eastAsia="Arial" w:hAnsi="Arial"/>
          <w:sz w:val="22"/>
          <w:szCs w:val="22"/>
        </w:rPr>
        <w:t xml:space="preserve">Veterans and individuals experiencing poverty without support networks;</w:t>
      </w:r>
    </w:p>
    <w:p>
      <w:pPr>
        <w:pStyle w:val="ListParagraph"/>
        <w:numPr>
          <w:ilvl w:val="0"/>
          <w:numId w:val="2"/>
        </w:numPr>
        <w:spacing w:after="60" w:before="60"/>
      </w:pPr>
      <w:r>
        <w:rPr>
          <w:rFonts w:ascii="Arial" w:cs="Arial" w:eastAsia="Arial" w:hAnsi="Arial"/>
          <w:sz w:val="22"/>
          <w:szCs w:val="22"/>
        </w:rPr>
        <w:t xml:space="preserve">Low-to-moderate income households in underserved rural and urban communities.</w:t>
      </w:r>
    </w:p>
    <w:p>
      <w:pPr>
        <w:spacing w:after="80" w:before="80"/>
      </w:pPr>
      <w:r>
        <w:t xml:space="preserve"/>
      </w:r>
    </w:p>
    <w:p>
      <w:pPr>
        <w:pStyle w:val="Heading2"/>
        <w:spacing w:after="100" w:before="240"/>
      </w:pPr>
      <w:r>
        <w:rPr>
          <w:rFonts w:ascii="Arial" w:cs="Arial" w:eastAsia="Arial" w:hAnsi="Arial"/>
          <w:b/>
          <w:bCs/>
          <w:color w:val="1B3A6B"/>
          <w:sz w:val="26"/>
          <w:szCs w:val="26"/>
        </w:rPr>
        <w:t xml:space="preserve">6.2 — Housing as Mission Platform</w:t>
      </w:r>
    </w:p>
    <w:p>
      <w:pPr>
        <w:spacing w:after="80" w:before="80"/>
      </w:pPr>
      <w:r>
        <w:rPr>
          <w:rFonts w:ascii="Arial" w:cs="Arial" w:eastAsia="Arial" w:hAnsi="Arial"/>
          <w:sz w:val="22"/>
          <w:szCs w:val="22"/>
        </w:rPr>
        <w:t xml:space="preserve">GNWSH's model recognizes that housing is not the end of the service relationship — it is the beginning. A stable address is the platform from which individuals can access employment, healthcare, education, and family restoration. The Organization's CDC housing development work creates the physical infrastructure for transformation at scale.</w:t>
      </w:r>
    </w:p>
    <w:p>
      <w:pPr>
        <w:spacing w:after="80" w:before="80"/>
      </w:pPr>
      <w:r>
        <w:t xml:space="preserve"/>
      </w:r>
    </w:p>
    <w:p>
      <w:pPr>
        <w:pStyle w:val="Heading2"/>
        <w:spacing w:after="100" w:before="240"/>
      </w:pPr>
      <w:r>
        <w:rPr>
          <w:rFonts w:ascii="Arial" w:cs="Arial" w:eastAsia="Arial" w:hAnsi="Arial"/>
          <w:b/>
          <w:bCs/>
          <w:color w:val="1B3A6B"/>
          <w:sz w:val="26"/>
          <w:szCs w:val="26"/>
        </w:rPr>
        <w:t xml:space="preserve">6.3 — Faith Anchor</w:t>
      </w:r>
    </w:p>
    <w:p>
      <w:pPr>
        <w:spacing w:after="80" w:before="80"/>
      </w:pPr>
      <w:r>
        <w:rPr>
          <w:rFonts w:ascii="Arial" w:cs="Arial" w:eastAsia="Arial" w:hAnsi="Arial"/>
          <w:sz w:val="22"/>
          <w:szCs w:val="22"/>
        </w:rPr>
        <w:t xml:space="preserve">GNWSH operates from an explicit faith foundation — serving humanity in God's name means that every property developed, every resident housed, and every program delivered is undergirded by a belief in the inherent dignity and restorable capacity of every person served. This faith anchor informs the culture of every GNWSH facility and the spirit of every partnership the Organization pursues.</w:t>
      </w:r>
    </w:p>
    <w:p>
      <w:pPr>
        <w:pBdr>
          <w:bottom w:val="single" w:color="1B3A6B" w:sz="3" w:space="1"/>
        </w:pBdr>
        <w:spacing w:after="200" w:before="200"/>
      </w:pPr>
      <w:r>
        <w:t xml:space="preserve"/>
      </w:r>
    </w:p>
    <w:p>
      <w:pPr>
        <w:pStyle w:val="Heading1"/>
        <w:pBdr>
          <w:bottom w:val="single" w:color="B8960C" w:sz="6" w:space="4"/>
        </w:pBdr>
        <w:spacing w:after="160" w:before="360"/>
      </w:pPr>
      <w:r>
        <w:rPr>
          <w:rFonts w:ascii="Arial" w:cs="Arial" w:eastAsia="Arial" w:hAnsi="Arial"/>
          <w:b/>
          <w:bCs/>
          <w:color w:val="1B3A6B"/>
          <w:sz w:val="32"/>
          <w:szCs w:val="32"/>
        </w:rPr>
        <w:t xml:space="preserve">CERTIFICATION AND AUTHORIZED CONTACT</w:t>
      </w:r>
    </w:p>
    <w:p>
      <w:pPr>
        <w:spacing w:after="80" w:before="80"/>
      </w:pPr>
      <w:r>
        <w:t xml:space="preserve"/>
      </w:r>
    </w:p>
    <w:p>
      <w:pPr>
        <w:spacing w:after="80" w:before="80"/>
      </w:pPr>
      <w:r>
        <w:rPr>
          <w:rFonts w:ascii="Arial" w:cs="Arial" w:eastAsia="Arial" w:hAnsi="Arial"/>
          <w:sz w:val="22"/>
          <w:szCs w:val="22"/>
        </w:rPr>
        <w:t xml:space="preserve">This Property Acquisition Portfolio has been prepared by authorized representatives of God's Name We Serve Humanity, Inc. for the purpose of supporting property acquisition, financing, grant applications, and partnership development. All information herein is accurate to the best of the Organization's knowledge as of the date of preparation.</w:t>
      </w:r>
    </w:p>
    <w:p>
      <w:pPr>
        <w:spacing w:after="80" w:before="80"/>
      </w:pPr>
      <w:r>
        <w:t xml:space="preserve"/>
      </w:r>
    </w:p>
    <w:p>
      <w:pPr>
        <w:spacing w:after="80" w:before="80"/>
      </w:pPr>
      <w:r>
        <w:rPr>
          <w:rFonts w:ascii="Arial" w:cs="Arial" w:eastAsia="Arial" w:hAnsi="Arial"/>
          <w:sz w:val="22"/>
          <w:szCs w:val="22"/>
        </w:rPr>
        <w:t xml:space="preserve">Organization representatives authorized to discuss this Portfolio and execute related agreements:</w:t>
      </w:r>
    </w:p>
    <w:p>
      <w:pPr>
        <w:spacing w:after="80" w:before="80"/>
      </w:pPr>
      <w:r>
        <w:t xml:space="preserve"/>
      </w:r>
    </w:p>
    <w:p>
      <w:pPr>
        <w:spacing w:after="80" w:before="80"/>
      </w:pPr>
      <w:r>
        <w:rPr>
          <w:rFonts w:ascii="Arial" w:cs="Arial" w:eastAsia="Arial" w:hAnsi="Arial"/>
          <w:sz w:val="22"/>
          <w:szCs w:val="22"/>
        </w:rPr>
        <w:t xml:space="preserve">_____________________________________________</w:t>
      </w:r>
    </w:p>
    <w:p>
      <w:pPr>
        <w:spacing w:after="80" w:before="80"/>
      </w:pPr>
      <w:r>
        <w:rPr>
          <w:rFonts w:ascii="Arial" w:cs="Arial" w:eastAsia="Arial" w:hAnsi="Arial"/>
          <w:sz w:val="22"/>
          <w:szCs w:val="22"/>
        </w:rPr>
        <w:t xml:space="preserve">Executive Director / President</w:t>
      </w:r>
    </w:p>
    <w:p>
      <w:pPr>
        <w:spacing w:after="80" w:before="80"/>
      </w:pPr>
      <w:r>
        <w:t xml:space="preserve"/>
      </w:r>
    </w:p>
    <w:p>
      <w:pPr>
        <w:spacing w:after="80" w:before="80"/>
      </w:pPr>
      <w:r>
        <w:rPr>
          <w:rFonts w:ascii="Arial" w:cs="Arial" w:eastAsia="Arial" w:hAnsi="Arial"/>
          <w:sz w:val="22"/>
          <w:szCs w:val="22"/>
        </w:rPr>
        <w:t xml:space="preserve">Printed Name: _______________________________</w:t>
      </w:r>
    </w:p>
    <w:p>
      <w:pPr>
        <w:spacing w:after="80" w:before="80"/>
      </w:pPr>
      <w:r>
        <w:t xml:space="preserve"/>
      </w:r>
    </w:p>
    <w:p>
      <w:pPr>
        <w:spacing w:after="80" w:before="80"/>
      </w:pPr>
      <w:r>
        <w:rPr>
          <w:rFonts w:ascii="Arial" w:cs="Arial" w:eastAsia="Arial" w:hAnsi="Arial"/>
          <w:sz w:val="22"/>
          <w:szCs w:val="22"/>
        </w:rPr>
        <w:t xml:space="preserve">Phone: _______________________________</w:t>
      </w:r>
    </w:p>
    <w:p>
      <w:pPr>
        <w:spacing w:after="80" w:before="80"/>
      </w:pPr>
      <w:r>
        <w:t xml:space="preserve"/>
      </w:r>
    </w:p>
    <w:p>
      <w:pPr>
        <w:spacing w:after="80" w:before="80"/>
      </w:pPr>
      <w:r>
        <w:rPr>
          <w:rFonts w:ascii="Arial" w:cs="Arial" w:eastAsia="Arial" w:hAnsi="Arial"/>
          <w:sz w:val="22"/>
          <w:szCs w:val="22"/>
        </w:rPr>
        <w:t xml:space="preserve">Email: _______________________________</w:t>
      </w:r>
    </w:p>
    <w:p>
      <w:pPr>
        <w:spacing w:after="80" w:before="80"/>
      </w:pPr>
      <w:r>
        <w:t xml:space="preserve"/>
      </w:r>
    </w:p>
    <w:p>
      <w:pPr>
        <w:spacing w:after="80" w:before="80"/>
      </w:pPr>
      <w:r>
        <w:t xml:space="preserve"/>
      </w:r>
    </w:p>
    <w:p>
      <w:pPr>
        <w:spacing w:after="80" w:before="80"/>
      </w:pPr>
      <w:r>
        <w:rPr>
          <w:rFonts w:ascii="Arial" w:cs="Arial" w:eastAsia="Arial" w:hAnsi="Arial"/>
          <w:sz w:val="22"/>
          <w:szCs w:val="22"/>
        </w:rPr>
        <w:t xml:space="preserve">_____________________________________________</w:t>
      </w:r>
    </w:p>
    <w:p>
      <w:pPr>
        <w:spacing w:after="80" w:before="80"/>
      </w:pPr>
      <w:r>
        <w:rPr>
          <w:rFonts w:ascii="Arial" w:cs="Arial" w:eastAsia="Arial" w:hAnsi="Arial"/>
          <w:sz w:val="22"/>
          <w:szCs w:val="22"/>
        </w:rPr>
        <w:t xml:space="preserve">Board Chair</w:t>
      </w:r>
    </w:p>
    <w:p>
      <w:pPr>
        <w:spacing w:after="80" w:before="80"/>
      </w:pPr>
      <w:r>
        <w:t xml:space="preserve"/>
      </w:r>
    </w:p>
    <w:p>
      <w:pPr>
        <w:spacing w:after="80" w:before="80"/>
      </w:pPr>
      <w:r>
        <w:rPr>
          <w:rFonts w:ascii="Arial" w:cs="Arial" w:eastAsia="Arial" w:hAnsi="Arial"/>
          <w:sz w:val="22"/>
          <w:szCs w:val="22"/>
        </w:rPr>
        <w:t xml:space="preserve">Printed Name: _______________________________</w:t>
      </w:r>
    </w:p>
    <w:p>
      <w:pPr>
        <w:spacing w:after="80" w:before="80"/>
      </w:pPr>
      <w:r>
        <w:t xml:space="preserve"/>
      </w:r>
    </w:p>
    <w:p>
      <w:pPr>
        <w:spacing w:after="80" w:before="80"/>
      </w:pPr>
      <w:r>
        <w:t xml:space="preserve"/>
      </w:r>
    </w:p>
    <w:p>
      <w:pPr>
        <w:spacing w:after="80" w:before="80"/>
      </w:pPr>
      <w:r>
        <w:rPr>
          <w:rFonts w:ascii="Arial" w:cs="Arial" w:eastAsia="Arial" w:hAnsi="Arial"/>
          <w:sz w:val="22"/>
          <w:szCs w:val="22"/>
        </w:rPr>
        <w:t xml:space="preserve">Date of Portfolio Preparation: June 2026</w:t>
      </w:r>
    </w:p>
    <w:p>
      <w:pPr>
        <w:spacing w:after="80" w:before="80"/>
      </w:pPr>
      <w:r>
        <w:t xml:space="preserve"/>
      </w:r>
    </w:p>
    <w:p>
      <w:pPr>
        <w:spacing w:after="80" w:before="80"/>
      </w:pPr>
      <w:r>
        <w:t xml:space="preserve"/>
      </w:r>
    </w:p>
    <w:p>
      <w:pPr>
        <w:spacing w:after="80" w:before="80"/>
      </w:pPr>
      <w:r>
        <w:rPr>
          <w:rFonts w:ascii="Arial" w:cs="Arial" w:eastAsia="Arial" w:hAnsi="Arial"/>
          <w:b/>
          <w:bCs/>
          <w:color w:val="1B3A6B"/>
          <w:sz w:val="22"/>
          <w:szCs w:val="22"/>
        </w:rPr>
        <w:t xml:space="preserve">God's Name We Serve Humanity, Inc.  |  EIN: 93-4643102  |  SOSID: 2665552</w:t>
      </w:r>
    </w:p>
    <w:p>
      <w:pPr>
        <w:spacing w:after="80" w:before="80"/>
      </w:pPr>
      <w:r>
        <w:rPr>
          <w:rFonts w:ascii="Arial" w:cs="Arial" w:eastAsia="Arial" w:hAnsi="Arial"/>
          <w:color w:val="1B3A6B"/>
          <w:sz w:val="22"/>
          <w:szCs w:val="22"/>
        </w:rPr>
        <w:t xml:space="preserve">103 Shore Lake Drive, Apt H  |  Greensboro, NC 27455  |  Phone: 631-624-2457</w:t>
      </w:r>
    </w:p>
    <w:p>
      <w:pPr>
        <w:spacing w:after="80" w:before="80"/>
      </w:pPr>
      <w:r>
        <w:t xml:space="preserve"/>
      </w:r>
    </w:p>
    <w:p>
      <w:pPr>
        <w:spacing w:after="80" w:before="80"/>
      </w:pPr>
      <w:r>
        <w:rPr>
          <w:rFonts w:ascii="Arial" w:cs="Arial" w:eastAsia="Arial" w:hAnsi="Arial"/>
          <w:i/>
          <w:iCs/>
          <w:color w:val="666666"/>
          <w:sz w:val="22"/>
          <w:szCs w:val="22"/>
        </w:rPr>
        <w:t xml:space="preserve">CONFIDENTIAL — This document is prepared for authorized lenders, grantors, regulatory agencies, and development partners only. Not for general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0C" w:sz="4" w:space="4"/>
      </w:pBdr>
      <w:tabs>
        <w:tab w:val="right" w:pos="9360"/>
      </w:tabs>
      <w:spacing w:before="80"/>
    </w:pPr>
    <w:r>
      <w:rPr>
        <w:rFonts w:ascii="Arial" w:cs="Arial" w:eastAsia="Arial" w:hAnsi="Arial"/>
        <w:color w:val="666666"/>
        <w:sz w:val="18"/>
        <w:szCs w:val="18"/>
      </w:rPr>
      <w:t xml:space="preserve">CONFIDENTIAL — For Authorized Partners, Lenders, and Grantors Only  |  EIN: 93-4643102</w:t>
    </w:r>
    <w:r>
      <w:rPr>
        <w:rFonts w:ascii="Arial" w:cs="Arial" w:eastAsia="Arial" w:hAnsi="Arial"/>
      </w:rPr>
      <w:t xml:space="preserve">	</w:t>
    </w:r>
    <w:r>
      <w:rPr>
        <w:rFonts w:ascii="Arial" w:cs="Arial" w:eastAsia="Arial" w:hAnsi="Arial"/>
        <w:color w:val="666666"/>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spacing w:after="120"/>
    </w:pPr>
    <w:r>
      <w:rPr>
        <w:rFonts w:ascii="Arial" w:cs="Arial" w:eastAsia="Arial" w:hAnsi="Arial"/>
        <w:b/>
        <w:bCs/>
        <w:color w:val="1B3A6B"/>
        <w:sz w:val="20"/>
        <w:szCs w:val="20"/>
      </w:rPr>
      <w:t xml:space="preserve">GOD'S NAME WE SERVE HUMANITY, INC.  |  CDC PROPERTY ACQUISITION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2026-06-16T19:25:47.494Z</dcterms:created>
  <dcterms:modified xsi:type="dcterms:W3CDTF">2026-06-16T19:25:47.494Z</dcterms:modified>
</cp:coreProperties>
</file>

<file path=docProps/custom.xml><?xml version="1.0" encoding="utf-8"?>
<Properties xmlns="http://schemas.openxmlformats.org/officeDocument/2006/custom-properties" xmlns:vt="http://schemas.openxmlformats.org/officeDocument/2006/docPropsVTypes"/>
</file>