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B3A6B"/>
          <w:sz w:val="44"/>
          <w:szCs w:val="44"/>
        </w:rPr>
        <w:t xml:space="preserve">GOD'S NAME WE SERVE HUMANITY, INC.</w:t>
      </w:r>
    </w:p>
    <w:p>
      <w:pPr>
        <w:spacing w:after="60" w:before="60"/>
        <w:jc w:val="center"/>
      </w:pPr>
      <w:r>
        <w:rPr>
          <w:rFonts w:ascii="Arial" w:cs="Arial" w:eastAsia="Arial" w:hAnsi="Arial"/>
          <w:b/>
          <w:bCs/>
          <w:color w:val="B8960C"/>
          <w:sz w:val="22"/>
          <w:szCs w:val="22"/>
        </w:rPr>
        <w:t xml:space="preserve">Community Development Corporation  |  501(c)(3)  |  EIN: 93-4643102</w:t>
      </w:r>
    </w:p>
    <w:p>
      <w:pPr>
        <w:pBdr>
          <w:bottom w:val="single" w:color="B8960C" w:sz="6" w:space="1"/>
        </w:pBdr>
        <w:spacing w:after="300" w:before="300"/>
      </w:pPr>
      <w:r>
        <w:t xml:space="preserve"/>
      </w:r>
    </w:p>
    <w:p>
      <w:pPr>
        <w:spacing w:after="60" w:before="160"/>
        <w:jc w:val="center"/>
      </w:pPr>
      <w:r>
        <w:rPr>
          <w:rFonts w:ascii="Arial" w:cs="Arial" w:eastAsia="Arial" w:hAnsi="Arial"/>
          <w:b/>
          <w:bCs/>
          <w:caps/>
          <w:color w:val="1B3A6B"/>
          <w:sz w:val="40"/>
          <w:szCs w:val="40"/>
        </w:rPr>
        <w:t xml:space="preserve">WHISTLEBLOWER PROTECTION POLICY</w:t>
      </w:r>
    </w:p>
    <w:p>
      <w:pPr>
        <w:spacing w:after="60" w:before="60"/>
        <w:jc w:val="center"/>
      </w:pPr>
      <w:r>
        <w:rPr>
          <w:rFonts w:ascii="Arial" w:cs="Arial" w:eastAsia="Arial" w:hAnsi="Arial"/>
          <w:color w:val="444444"/>
          <w:sz w:val="26"/>
          <w:szCs w:val="26"/>
        </w:rPr>
        <w:t xml:space="preserve">AND</w:t>
      </w:r>
    </w:p>
    <w:p>
      <w:pPr>
        <w:spacing w:after="60" w:before="60"/>
        <w:jc w:val="center"/>
      </w:pPr>
      <w:r>
        <w:rPr>
          <w:rFonts w:ascii="Arial" w:cs="Arial" w:eastAsia="Arial" w:hAnsi="Arial"/>
          <w:b/>
          <w:bCs/>
          <w:caps/>
          <w:color w:val="1B3A6B"/>
          <w:sz w:val="36"/>
          <w:szCs w:val="36"/>
        </w:rPr>
        <w:t xml:space="preserve">DOCUMENT RETENTION AND DESTRUCTION POLICY</w:t>
      </w:r>
    </w:p>
    <w:p>
      <w:pPr>
        <w:spacing w:after="480" w:before="120"/>
        <w:jc w:val="center"/>
      </w:pPr>
      <w:r>
        <w:rPr>
          <w:rFonts w:ascii="Arial" w:cs="Arial" w:eastAsia="Arial" w:hAnsi="Arial"/>
          <w:color w:val="666666"/>
          <w:sz w:val="22"/>
          <w:szCs w:val="22"/>
        </w:rPr>
        <w:t xml:space="preserve">Adopted: June 2026  |  IRS Form 990 Part VI, Section B, Questions 12b &amp; 12c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8" w:val="clear"/>
            <w:tcMar>
              <w:top w:type="dxa" w:w="120"/>
              <w:left w:type="dxa" w:w="200"/>
              <w:bottom w:type="dxa" w:w="120"/>
              <w:right w:type="dxa" w:w="200"/>
            </w:tcMar>
          </w:tcPr>
          <w:p>
            <w:pPr>
              <w:spacing w:after="60" w:before="60"/>
            </w:pPr>
            <w:r>
              <w:rPr>
                <w:rFonts w:ascii="Arial" w:cs="Arial" w:eastAsia="Arial" w:hAnsi="Arial"/>
                <w:sz w:val="21"/>
                <w:szCs w:val="21"/>
              </w:rPr>
              <w:t xml:space="preserve">REGULATORY BASIS: These policies satisfy IRS Form 990, Part VI, Section B requirements:</w:t>
            </w:r>
          </w:p>
          <w:p>
            <w:pPr>
              <w:spacing w:after="60" w:before="60"/>
            </w:pPr>
            <w:r>
              <w:rPr>
                <w:rFonts w:ascii="Arial" w:cs="Arial" w:eastAsia="Arial" w:hAnsi="Arial"/>
                <w:sz w:val="21"/>
                <w:szCs w:val="21"/>
              </w:rPr>
              <w:t xml:space="preserve">  •  Question 12b: Does the Organization have a written whistleblower policy?</w:t>
            </w:r>
          </w:p>
          <w:p>
            <w:pPr>
              <w:spacing w:after="60" w:before="60"/>
            </w:pPr>
            <w:r>
              <w:rPr>
                <w:rFonts w:ascii="Arial" w:cs="Arial" w:eastAsia="Arial" w:hAnsi="Arial"/>
                <w:sz w:val="21"/>
                <w:szCs w:val="21"/>
              </w:rPr>
              <w:t xml:space="preserve">  •  Question 12c: Does the Organization have a written document retention and destruction policy?</w:t>
            </w:r>
          </w:p>
          <w:p>
            <w:pPr>
              <w:spacing w:after="60" w:before="60"/>
            </w:pPr>
            <w:r>
              <w:rPr>
                <w:rFonts w:ascii="Arial" w:cs="Arial" w:eastAsia="Arial" w:hAnsi="Arial"/>
                <w:sz w:val="21"/>
                <w:szCs w:val="21"/>
              </w:rPr>
              <w:t xml:space="preserve">Both are required governance policies for 501(c)(3) organizations and are reviewed annually by the Board.</w:t>
            </w:r>
          </w:p>
        </w:tc>
      </w:tr>
    </w:tbl>
    <w:p>
      <w:pPr>
        <w:pBdr>
          <w:bottom w:val="single" w:color="B8960C" w:sz="6" w:space="1"/>
        </w:pBdr>
        <w:spacing w:after="300" w:before="3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 — WHISTLEBLOWER PROTECTION POLICY</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1.1 — Policy Statement</w:t>
      </w:r>
    </w:p>
    <w:p>
      <w:pPr>
        <w:spacing w:after="80" w:before="80"/>
      </w:pPr>
      <w:r>
        <w:rPr>
          <w:rFonts w:ascii="Arial" w:cs="Arial" w:eastAsia="Arial" w:hAnsi="Arial"/>
          <w:sz w:val="22"/>
          <w:szCs w:val="22"/>
        </w:rPr>
        <w:t xml:space="preserve">God's Name We Serve Humanity, Inc. ("Corporation" or "GNWSH") is committed to operating in full compliance with all applicable laws and regulations and in accordance with the highest ethical standards. The Corporation's directors, officers, employees, contractors, and volunteers are expected to report, in good faith, any known or suspected violations of law, regulation, the Corporation's governing documents, or its ethical standards.</w:t>
      </w:r>
    </w:p>
    <w:p>
      <w:pPr>
        <w:spacing w:after="80" w:before="80"/>
      </w:pPr>
      <w:r>
        <w:t xml:space="preserve"/>
      </w:r>
    </w:p>
    <w:p>
      <w:pPr>
        <w:spacing w:after="80" w:before="80"/>
      </w:pPr>
      <w:r>
        <w:rPr>
          <w:rFonts w:ascii="Arial" w:cs="Arial" w:eastAsia="Arial" w:hAnsi="Arial"/>
          <w:sz w:val="22"/>
          <w:szCs w:val="22"/>
        </w:rPr>
        <w:t xml:space="preserve">The Corporation will not tolerate retaliation of any kind against any individual who, in good faith, reports a concern or participates in an investigation under this Policy. This Policy is designed to encourage and enable members of the GNWSH community to raise serious concerns internally so that the Corporation can address and correct inappropriate conduct before it escalates.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1.2 — Scope and Covered Persons</w:t>
      </w:r>
    </w:p>
    <w:p>
      <w:pPr>
        <w:spacing w:after="80" w:before="80"/>
      </w:pPr>
      <w:r>
        <w:rPr>
          <w:rFonts w:ascii="Arial" w:cs="Arial" w:eastAsia="Arial" w:hAnsi="Arial"/>
          <w:sz w:val="22"/>
          <w:szCs w:val="22"/>
        </w:rPr>
        <w:t xml:space="preserve">This Policy applies to all persons affiliated with the Corporation, including:</w:t>
      </w:r>
    </w:p>
    <w:p>
      <w:pPr>
        <w:pStyle w:val="ListParagraph"/>
        <w:numPr>
          <w:ilvl w:val="0"/>
          <w:numId w:val="2"/>
        </w:numPr>
        <w:spacing w:after="60" w:before="60"/>
      </w:pPr>
      <w:r>
        <w:rPr>
          <w:rFonts w:ascii="Arial" w:cs="Arial" w:eastAsia="Arial" w:hAnsi="Arial"/>
          <w:sz w:val="22"/>
          <w:szCs w:val="22"/>
        </w:rPr>
        <w:t xml:space="preserve">Members of the Board of Directors;</w:t>
      </w:r>
    </w:p>
    <w:p>
      <w:pPr>
        <w:pStyle w:val="ListParagraph"/>
        <w:numPr>
          <w:ilvl w:val="0"/>
          <w:numId w:val="2"/>
        </w:numPr>
        <w:spacing w:after="60" w:before="60"/>
      </w:pPr>
      <w:r>
        <w:rPr>
          <w:rFonts w:ascii="Arial" w:cs="Arial" w:eastAsia="Arial" w:hAnsi="Arial"/>
          <w:sz w:val="22"/>
          <w:szCs w:val="22"/>
        </w:rPr>
        <w:t xml:space="preserve">Officers (Board Chair, Vice Chair, Secretary, Treasurer, President/Executive Director);</w:t>
      </w:r>
    </w:p>
    <w:p>
      <w:pPr>
        <w:pStyle w:val="ListParagraph"/>
        <w:numPr>
          <w:ilvl w:val="0"/>
          <w:numId w:val="2"/>
        </w:numPr>
        <w:spacing w:after="60" w:before="60"/>
      </w:pPr>
      <w:r>
        <w:rPr>
          <w:rFonts w:ascii="Arial" w:cs="Arial" w:eastAsia="Arial" w:hAnsi="Arial"/>
          <w:sz w:val="22"/>
          <w:szCs w:val="22"/>
        </w:rPr>
        <w:t xml:space="preserve">Employees (full-time, part-time, temporary, and seasonal);</w:t>
      </w:r>
    </w:p>
    <w:p>
      <w:pPr>
        <w:pStyle w:val="ListParagraph"/>
        <w:numPr>
          <w:ilvl w:val="0"/>
          <w:numId w:val="2"/>
        </w:numPr>
        <w:spacing w:after="60" w:before="60"/>
      </w:pPr>
      <w:r>
        <w:rPr>
          <w:rFonts w:ascii="Arial" w:cs="Arial" w:eastAsia="Arial" w:hAnsi="Arial"/>
          <w:sz w:val="22"/>
          <w:szCs w:val="22"/>
        </w:rPr>
        <w:t xml:space="preserve">Contractors, consultants, and vendors engaged by the Corporation;</w:t>
      </w:r>
    </w:p>
    <w:p>
      <w:pPr>
        <w:pStyle w:val="ListParagraph"/>
        <w:numPr>
          <w:ilvl w:val="0"/>
          <w:numId w:val="2"/>
        </w:numPr>
        <w:spacing w:after="60" w:before="60"/>
      </w:pPr>
      <w:r>
        <w:rPr>
          <w:rFonts w:ascii="Arial" w:cs="Arial" w:eastAsia="Arial" w:hAnsi="Arial"/>
          <w:sz w:val="22"/>
          <w:szCs w:val="22"/>
        </w:rPr>
        <w:t xml:space="preserve">Volunteers serving in any capacity on behalf of the Corporation.</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1.3 — Reportable Conduct</w:t>
      </w:r>
    </w:p>
    <w:p>
      <w:pPr>
        <w:spacing w:after="80" w:before="80"/>
      </w:pPr>
      <w:r>
        <w:rPr>
          <w:rFonts w:ascii="Arial" w:cs="Arial" w:eastAsia="Arial" w:hAnsi="Arial"/>
          <w:sz w:val="22"/>
          <w:szCs w:val="22"/>
        </w:rPr>
        <w:t xml:space="preserve">Covered Persons are encouraged — and in some circumstances required — to report any reasonable, good-faith suspicion or knowledge of:</w:t>
      </w:r>
    </w:p>
    <w:p>
      <w:pPr>
        <w:pStyle w:val="ListParagraph"/>
        <w:numPr>
          <w:ilvl w:val="0"/>
          <w:numId w:val="2"/>
        </w:numPr>
        <w:spacing w:after="60" w:before="60"/>
      </w:pPr>
      <w:r>
        <w:rPr>
          <w:rFonts w:ascii="Arial" w:cs="Arial" w:eastAsia="Arial" w:hAnsi="Arial"/>
          <w:sz w:val="22"/>
          <w:szCs w:val="22"/>
        </w:rPr>
        <w:t xml:space="preserve">Fraud, theft, embezzlement, or financial misconduct involving Corporation funds, assets, or property;</w:t>
      </w:r>
    </w:p>
    <w:p>
      <w:pPr>
        <w:pStyle w:val="ListParagraph"/>
        <w:numPr>
          <w:ilvl w:val="0"/>
          <w:numId w:val="2"/>
        </w:numPr>
        <w:spacing w:after="60" w:before="60"/>
      </w:pPr>
      <w:r>
        <w:rPr>
          <w:rFonts w:ascii="Arial" w:cs="Arial" w:eastAsia="Arial" w:hAnsi="Arial"/>
          <w:sz w:val="22"/>
          <w:szCs w:val="22"/>
        </w:rPr>
        <w:t xml:space="preserve">Falsification of financial records, grant reports, government filings, or tax returns;</w:t>
      </w:r>
    </w:p>
    <w:p>
      <w:pPr>
        <w:pStyle w:val="ListParagraph"/>
        <w:numPr>
          <w:ilvl w:val="0"/>
          <w:numId w:val="2"/>
        </w:numPr>
        <w:spacing w:after="60" w:before="60"/>
      </w:pPr>
      <w:r>
        <w:rPr>
          <w:rFonts w:ascii="Arial" w:cs="Arial" w:eastAsia="Arial" w:hAnsi="Arial"/>
          <w:sz w:val="22"/>
          <w:szCs w:val="22"/>
        </w:rPr>
        <w:t xml:space="preserve">Violations of federal, state, or local law applicable to the Corporation or its operations;</w:t>
      </w:r>
    </w:p>
    <w:p>
      <w:pPr>
        <w:pStyle w:val="ListParagraph"/>
        <w:numPr>
          <w:ilvl w:val="0"/>
          <w:numId w:val="2"/>
        </w:numPr>
        <w:spacing w:after="60" w:before="60"/>
      </w:pPr>
      <w:r>
        <w:rPr>
          <w:rFonts w:ascii="Arial" w:cs="Arial" w:eastAsia="Arial" w:hAnsi="Arial"/>
          <w:sz w:val="22"/>
          <w:szCs w:val="22"/>
        </w:rPr>
        <w:t xml:space="preserve">Violations of the Corporation's Bylaws, Operating Agreement, Conflict of Interest Policy, or other governing documents;</w:t>
      </w:r>
    </w:p>
    <w:p>
      <w:pPr>
        <w:pStyle w:val="ListParagraph"/>
        <w:numPr>
          <w:ilvl w:val="0"/>
          <w:numId w:val="2"/>
        </w:numPr>
        <w:spacing w:after="60" w:before="60"/>
      </w:pPr>
      <w:r>
        <w:rPr>
          <w:rFonts w:ascii="Arial" w:cs="Arial" w:eastAsia="Arial" w:hAnsi="Arial"/>
          <w:sz w:val="22"/>
          <w:szCs w:val="22"/>
        </w:rPr>
        <w:t xml:space="preserve">Misuse of the Corporation's tax-exempt status or charitable funds for private benefit;</w:t>
      </w:r>
    </w:p>
    <w:p>
      <w:pPr>
        <w:pStyle w:val="ListParagraph"/>
        <w:numPr>
          <w:ilvl w:val="0"/>
          <w:numId w:val="2"/>
        </w:numPr>
        <w:spacing w:after="60" w:before="60"/>
      </w:pPr>
      <w:r>
        <w:rPr>
          <w:rFonts w:ascii="Arial" w:cs="Arial" w:eastAsia="Arial" w:hAnsi="Arial"/>
          <w:sz w:val="22"/>
          <w:szCs w:val="22"/>
        </w:rPr>
        <w:t xml:space="preserve">Harassment, discrimination, or workplace safety violations;</w:t>
      </w:r>
    </w:p>
    <w:p>
      <w:pPr>
        <w:pStyle w:val="ListParagraph"/>
        <w:numPr>
          <w:ilvl w:val="0"/>
          <w:numId w:val="2"/>
        </w:numPr>
        <w:spacing w:after="60" w:before="60"/>
      </w:pPr>
      <w:r>
        <w:rPr>
          <w:rFonts w:ascii="Arial" w:cs="Arial" w:eastAsia="Arial" w:hAnsi="Arial"/>
          <w:sz w:val="22"/>
          <w:szCs w:val="22"/>
        </w:rPr>
        <w:t xml:space="preserve">Destruction of documents in violation of this Policy or in anticipation of a government investigation;</w:t>
      </w:r>
    </w:p>
    <w:p>
      <w:pPr>
        <w:pStyle w:val="ListParagraph"/>
        <w:numPr>
          <w:ilvl w:val="0"/>
          <w:numId w:val="2"/>
        </w:numPr>
        <w:spacing w:after="60" w:before="60"/>
      </w:pPr>
      <w:r>
        <w:rPr>
          <w:rFonts w:ascii="Arial" w:cs="Arial" w:eastAsia="Arial" w:hAnsi="Arial"/>
          <w:sz w:val="22"/>
          <w:szCs w:val="22"/>
        </w:rPr>
        <w:t xml:space="preserve">Self-dealing, excess benefit transactions, or other violations of the Corporation's fiduciary duties;</w:t>
      </w:r>
    </w:p>
    <w:p>
      <w:pPr>
        <w:pStyle w:val="ListParagraph"/>
        <w:numPr>
          <w:ilvl w:val="0"/>
          <w:numId w:val="2"/>
        </w:numPr>
        <w:spacing w:after="60" w:before="60"/>
      </w:pPr>
      <w:r>
        <w:rPr>
          <w:rFonts w:ascii="Arial" w:cs="Arial" w:eastAsia="Arial" w:hAnsi="Arial"/>
          <w:sz w:val="22"/>
          <w:szCs w:val="22"/>
        </w:rPr>
        <w:t xml:space="preserve">Any other conduct that the reporting person reasonably believes constitutes a violation of law or ethical standards applicable to the Corporation.</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1.4 — How to Report a Concern</w:t>
      </w:r>
    </w:p>
    <w:p>
      <w:pPr>
        <w:spacing w:after="80" w:before="80"/>
      </w:pPr>
      <w:r>
        <w:rPr>
          <w:rFonts w:ascii="Arial" w:cs="Arial" w:eastAsia="Arial" w:hAnsi="Arial"/>
          <w:sz w:val="22"/>
          <w:szCs w:val="22"/>
        </w:rPr>
        <w:t xml:space="preserve">Reports may be made through any of the following channels: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 / Method</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Executive Director</w:t>
            </w:r>
          </w:p>
        </w:tc>
        <w:tc>
          <w:tcPr>
            <w:tcW w:type="dxa" w:w="6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Report directly to the Executive Director — unless the concern involves the 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Board Chair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to the Board Chair — for concerns involving the ED or senior leadership</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Finance Committee Chair</w:t>
            </w:r>
          </w:p>
        </w:tc>
        <w:tc>
          <w:tcPr>
            <w:tcW w:type="dxa" w:w="6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Report to Finance Committee Chair — for financial or fiscal concerns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Written 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 written report sealed and marked 'CONFIDENTIAL — WHISTLEBLOWER REPORT' to the Board Chair or Finance Committee Chair</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Anonymous Report</w:t>
            </w:r>
          </w:p>
        </w:tc>
        <w:tc>
          <w:tcPr>
            <w:tcW w:type="dxa" w:w="6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Anonymous reports may be submitted in writing delivered to the Corporation's principal office addressed to the Board Chair; the Corporation will investigate to the extent practicable</w:t>
            </w:r>
          </w:p>
        </w:tc>
      </w:tr>
    </w:tbl>
    <w:p>
      <w:pPr>
        <w:spacing w:after="80" w:before="80"/>
      </w:pPr>
      <w:r>
        <w:t xml:space="preserve"/>
      </w:r>
    </w:p>
    <w:p>
      <w:pPr>
        <w:spacing w:after="80" w:before="80"/>
      </w:pPr>
      <w:r>
        <w:rPr>
          <w:rFonts w:ascii="Arial" w:cs="Arial" w:eastAsia="Arial" w:hAnsi="Arial"/>
          <w:sz w:val="22"/>
          <w:szCs w:val="22"/>
        </w:rPr>
        <w:t xml:space="preserve">If a concern involves the Board Chair, the report shall be made to the Vice Chair or any other director not implicated in the concern.</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1.5 — Investigation Procedures</w:t>
      </w:r>
    </w:p>
    <w:p>
      <w:pPr>
        <w:pStyle w:val="ListParagraph"/>
        <w:numPr>
          <w:ilvl w:val="0"/>
          <w:numId w:val="3"/>
        </w:numPr>
        <w:spacing w:after="60" w:before="60"/>
      </w:pPr>
      <w:r>
        <w:rPr>
          <w:rFonts w:ascii="Arial" w:cs="Arial" w:eastAsia="Arial" w:hAnsi="Arial"/>
          <w:sz w:val="22"/>
          <w:szCs w:val="22"/>
        </w:rPr>
        <w:t xml:space="preserve">Upon receipt of a report, the Board Chair (or designee) shall promptly acknowledge receipt and assign the matter to the appropriate investigator — who shall be a person with no actual or apparent conflict of interest with respect to the subject of the report.</w:t>
      </w:r>
    </w:p>
    <w:p>
      <w:pPr>
        <w:pStyle w:val="ListParagraph"/>
        <w:numPr>
          <w:ilvl w:val="0"/>
          <w:numId w:val="3"/>
        </w:numPr>
        <w:spacing w:after="60" w:before="60"/>
      </w:pPr>
      <w:r>
        <w:rPr>
          <w:rFonts w:ascii="Arial" w:cs="Arial" w:eastAsia="Arial" w:hAnsi="Arial"/>
          <w:sz w:val="22"/>
          <w:szCs w:val="22"/>
        </w:rPr>
        <w:t xml:space="preserve">The investigator shall be authorized to review documents, interview personnel, engage outside counsel or consultants, and take any steps necessary to conduct a thorough and fair investigation.</w:t>
      </w:r>
    </w:p>
    <w:p>
      <w:pPr>
        <w:pStyle w:val="ListParagraph"/>
        <w:numPr>
          <w:ilvl w:val="0"/>
          <w:numId w:val="3"/>
        </w:numPr>
        <w:spacing w:after="60" w:before="60"/>
      </w:pPr>
      <w:r>
        <w:rPr>
          <w:rFonts w:ascii="Arial" w:cs="Arial" w:eastAsia="Arial" w:hAnsi="Arial"/>
          <w:sz w:val="22"/>
          <w:szCs w:val="22"/>
        </w:rPr>
        <w:t xml:space="preserve">The investigation shall be conducted promptly and confidentially, consistent with the need to conduct a thorough inquiry.</w:t>
      </w:r>
    </w:p>
    <w:p>
      <w:pPr>
        <w:pStyle w:val="ListParagraph"/>
        <w:numPr>
          <w:ilvl w:val="0"/>
          <w:numId w:val="3"/>
        </w:numPr>
        <w:spacing w:after="60" w:before="60"/>
      </w:pPr>
      <w:r>
        <w:rPr>
          <w:rFonts w:ascii="Arial" w:cs="Arial" w:eastAsia="Arial" w:hAnsi="Arial"/>
          <w:sz w:val="22"/>
          <w:szCs w:val="22"/>
        </w:rPr>
        <w:t xml:space="preserve">The person who made the report shall be kept reasonably informed of the status and outcome of the investigation to the extent permitted by law and consistent with the Corporation's confidentiality obligations.</w:t>
      </w:r>
    </w:p>
    <w:p>
      <w:pPr>
        <w:pStyle w:val="ListParagraph"/>
        <w:numPr>
          <w:ilvl w:val="0"/>
          <w:numId w:val="3"/>
        </w:numPr>
        <w:spacing w:after="60" w:before="60"/>
      </w:pPr>
      <w:r>
        <w:rPr>
          <w:rFonts w:ascii="Arial" w:cs="Arial" w:eastAsia="Arial" w:hAnsi="Arial"/>
          <w:sz w:val="22"/>
          <w:szCs w:val="22"/>
        </w:rPr>
        <w:t xml:space="preserve">Upon completion of the investigation, the investigator shall report findings to the Board of Directors. If wrongdoing is confirmed, the Board shall determine and implement appropriate corrective action, which may include discipline, termination, legal referral, or self-reporting to government authorities.</w:t>
      </w:r>
    </w:p>
    <w:p>
      <w:pPr>
        <w:pStyle w:val="ListParagraph"/>
        <w:numPr>
          <w:ilvl w:val="0"/>
          <w:numId w:val="3"/>
        </w:numPr>
        <w:spacing w:after="60" w:before="60"/>
      </w:pPr>
      <w:r>
        <w:rPr>
          <w:rFonts w:ascii="Arial" w:cs="Arial" w:eastAsia="Arial" w:hAnsi="Arial"/>
          <w:sz w:val="22"/>
          <w:szCs w:val="22"/>
        </w:rPr>
        <w:t xml:space="preserve">All investigation records shall be maintained in a confidential file and retained pursuant to Part II of this Policy.</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1.6 — Non-Retaliation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60" w:before="60"/>
            </w:pPr>
            <w:r>
              <w:rPr>
                <w:rFonts w:ascii="Arial" w:cs="Arial" w:eastAsia="Arial" w:hAnsi="Arial"/>
                <w:sz w:val="21"/>
                <w:szCs w:val="21"/>
              </w:rPr>
              <w:t xml:space="preserve">ZERO TOLERANCE FOR RETALIATION</w:t>
            </w:r>
          </w:p>
          <w:p>
            <w:pPr>
              <w:spacing w:after="60" w:before="60"/>
            </w:pPr>
            <w:r>
              <w:rPr>
                <w:rFonts w:ascii="Arial" w:cs="Arial" w:eastAsia="Arial" w:hAnsi="Arial"/>
                <w:sz w:val="21"/>
                <w:szCs w:val="21"/>
              </w:rPr>
              <w:t xml:space="preserve">No director, officer, employee, contractor, or volunteer of God's Name We Serve Humanity, Inc.</w:t>
            </w:r>
          </w:p>
          <w:p>
            <w:pPr>
              <w:spacing w:after="60" w:before="60"/>
            </w:pPr>
            <w:r>
              <w:rPr>
                <w:rFonts w:ascii="Arial" w:cs="Arial" w:eastAsia="Arial" w:hAnsi="Arial"/>
                <w:sz w:val="21"/>
                <w:szCs w:val="21"/>
              </w:rPr>
              <w:t xml:space="preserve">shall take — or threaten to take — any adverse action against any person for reporting a concern</w:t>
            </w:r>
          </w:p>
          <w:p>
            <w:pPr>
              <w:spacing w:after="60" w:before="60"/>
            </w:pPr>
            <w:r>
              <w:rPr>
                <w:rFonts w:ascii="Arial" w:cs="Arial" w:eastAsia="Arial" w:hAnsi="Arial"/>
                <w:sz w:val="21"/>
                <w:szCs w:val="21"/>
              </w:rPr>
              <w:t xml:space="preserve">in good faith under this Policy or for participating in an investigation.</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Retaliation is a serious violation of this Policy and may itself constitute a violation of federal and state law.</w:t>
            </w:r>
          </w:p>
          <w:p>
            <w:pPr>
              <w:spacing w:after="60" w:before="60"/>
            </w:pPr>
            <w:r>
              <w:rPr>
                <w:rFonts w:ascii="Arial" w:cs="Arial" w:eastAsia="Arial" w:hAnsi="Arial"/>
                <w:sz w:val="21"/>
                <w:szCs w:val="21"/>
              </w:rPr>
              <w:t xml:space="preserve">Any person who engages in retaliation is subject to discipline up to and including termination.</w:t>
            </w:r>
          </w:p>
        </w:tc>
      </w:tr>
    </w:tbl>
    <w:p>
      <w:pPr>
        <w:spacing w:after="80" w:before="80"/>
      </w:pPr>
      <w:r>
        <w:t xml:space="preserve"/>
      </w:r>
    </w:p>
    <w:p>
      <w:pPr>
        <w:spacing w:after="80" w:before="80"/>
      </w:pPr>
      <w:r>
        <w:rPr>
          <w:rFonts w:ascii="Arial" w:cs="Arial" w:eastAsia="Arial" w:hAnsi="Arial"/>
          <w:sz w:val="22"/>
          <w:szCs w:val="22"/>
        </w:rPr>
        <w:t xml:space="preserve">Adverse actions include but are not limited to: termination, demotion, suspension, reduction in pay or benefits, reassignment, harassment, exclusion, or any other action that would dissuade a reasonable person from making a report.</w:t>
      </w:r>
    </w:p>
    <w:p>
      <w:pPr>
        <w:spacing w:after="80" w:before="80"/>
      </w:pPr>
      <w:r>
        <w:t xml:space="preserve"/>
      </w:r>
    </w:p>
    <w:p>
      <w:pPr>
        <w:spacing w:after="80" w:before="80"/>
      </w:pPr>
      <w:r>
        <w:rPr>
          <w:rFonts w:ascii="Arial" w:cs="Arial" w:eastAsia="Arial" w:hAnsi="Arial"/>
          <w:sz w:val="22"/>
          <w:szCs w:val="22"/>
        </w:rPr>
        <w:t xml:space="preserve">Any person who believes they have experienced retaliation for making a good-faith report shall immediately report the retaliation to the Board Chair or, if the Chair is implicated, to any other director. The Corporation shall investigate all retaliation claims with the same rigor as underlying whistleblower reports.</w:t>
      </w:r>
    </w:p>
    <w:p>
      <w:pPr>
        <w:spacing w:after="80" w:before="80"/>
      </w:pPr>
      <w:r>
        <w:t xml:space="preserve"/>
      </w:r>
    </w:p>
    <w:p>
      <w:pPr>
        <w:spacing w:after="80" w:before="80"/>
      </w:pPr>
      <w:r>
        <w:rPr>
          <w:rFonts w:ascii="Arial" w:cs="Arial" w:eastAsia="Arial" w:hAnsi="Arial"/>
          <w:sz w:val="22"/>
          <w:szCs w:val="22"/>
        </w:rPr>
        <w:t xml:space="preserve">This Policy does not protect persons who make reports in bad faith, with knowledge that the report is false, or for an improper purpose.</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1.7 — Confidentiality</w:t>
      </w:r>
    </w:p>
    <w:p>
      <w:pPr>
        <w:spacing w:after="80" w:before="80"/>
      </w:pPr>
      <w:r>
        <w:rPr>
          <w:rFonts w:ascii="Arial" w:cs="Arial" w:eastAsia="Arial" w:hAnsi="Arial"/>
          <w:sz w:val="22"/>
          <w:szCs w:val="22"/>
        </w:rPr>
        <w:t xml:space="preserve">The Corporation shall maintain the confidentiality of all reports and investigations to the greatest extent possible consistent with the need to conduct a fair investigation and comply with legal obligations. The identity of reporting persons shall not be disclosed except to the extent necessary to conduct the investigation or as required by law.</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1.8 — Relationship to Legal Obligations</w:t>
      </w:r>
    </w:p>
    <w:p>
      <w:pPr>
        <w:spacing w:after="80" w:before="80"/>
      </w:pPr>
      <w:r>
        <w:rPr>
          <w:rFonts w:ascii="Arial" w:cs="Arial" w:eastAsia="Arial" w:hAnsi="Arial"/>
          <w:sz w:val="22"/>
          <w:szCs w:val="22"/>
        </w:rPr>
        <w:t xml:space="preserve">Nothing in this Policy limits any Covered Person's right or obligation to report suspected violations of law to government agencies, including the IRS, state attorneys general, or law enforcement. The Corporation will not retaliate against any person for reporting to or cooperating with government authorities.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1.9 — Annual Review and Training</w:t>
      </w:r>
    </w:p>
    <w:p>
      <w:pPr>
        <w:spacing w:after="80" w:before="80"/>
      </w:pPr>
      <w:r>
        <w:rPr>
          <w:rFonts w:ascii="Arial" w:cs="Arial" w:eastAsia="Arial" w:hAnsi="Arial"/>
          <w:sz w:val="22"/>
          <w:szCs w:val="22"/>
        </w:rPr>
        <w:t xml:space="preserve">The Board of Directors shall review this Policy annually and confirm compliance in the Organization's Form 990 filing. The Executive Director shall ensure that all new directors, officers, employees, and regular contractors receive a copy of this Policy and acknowledge receipt in writing. The Corporation shall incorporate this Policy into its onboarding process for all new Covered Persons.</w:t>
      </w:r>
    </w:p>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II — DOCUMENT RETENTION AND DESTRUCTION POLICY</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2.1 — Policy Purpose and Scope</w:t>
      </w:r>
    </w:p>
    <w:p>
      <w:pPr>
        <w:spacing w:after="80" w:before="80"/>
      </w:pPr>
      <w:r>
        <w:rPr>
          <w:rFonts w:ascii="Arial" w:cs="Arial" w:eastAsia="Arial" w:hAnsi="Arial"/>
          <w:sz w:val="22"/>
          <w:szCs w:val="22"/>
        </w:rPr>
        <w:t xml:space="preserve">This Document Retention and Destruction Policy establishes the standards by which God's Name We Serve Humanity, Inc. creates, maintains, stores, protects, and disposes of its organizational records. The Policy applies to all records — in any format, including paper, electronic, digital, audio, video, and cloud-based storage — created, received, or maintained by the Corporation or its agents in the course of business.</w:t>
      </w:r>
    </w:p>
    <w:p>
      <w:pPr>
        <w:spacing w:after="80" w:before="80"/>
      </w:pPr>
      <w:r>
        <w:t xml:space="preserve"/>
      </w:r>
    </w:p>
    <w:p>
      <w:pPr>
        <w:spacing w:after="80" w:before="80"/>
      </w:pPr>
      <w:r>
        <w:rPr>
          <w:rFonts w:ascii="Arial" w:cs="Arial" w:eastAsia="Arial" w:hAnsi="Arial"/>
          <w:sz w:val="22"/>
          <w:szCs w:val="22"/>
        </w:rPr>
        <w:t xml:space="preserve">This Policy serves three functions: (1) ensures the Corporation retains records needed for legal, regulatory, tax, and operational purposes; (2) ensures timely, authorized destruction of records no longer needed; and (3) ensures immediate preservation of all records when litigation, government investigation, or audit is known or reasonably anticipated.</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2.2 — Retention Schedule</w:t>
      </w:r>
    </w:p>
    <w:p>
      <w:pPr>
        <w:spacing w:after="80" w:before="80"/>
      </w:pPr>
      <w:r>
        <w:rPr>
          <w:rFonts w:ascii="Arial" w:cs="Arial" w:eastAsia="Arial" w:hAnsi="Arial"/>
          <w:sz w:val="22"/>
          <w:szCs w:val="22"/>
        </w:rPr>
        <w:t xml:space="preserve">The Corporation shall retain records for the minimum periods set forth below. Where a legal requirement or specific grant agreement requires a longer retention period, that longer period controls. When in doubt, retain.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800"/>
        <w:gridCol w:w="20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Record Category</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Retention Period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Authority / Basis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19"/>
                <w:szCs w:val="19"/>
              </w:rPr>
              <w:t xml:space="preserve">Permanent Corporate Records</w:t>
            </w:r>
          </w:p>
        </w:tc>
        <w:tc>
          <w:tcPr>
            <w:tcW w:type="dxa" w:w="3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after="40" w:before="40"/>
            </w:pPr>
            <w:r>
              <w:rPr>
                <w:rFonts w:ascii="Arial" w:cs="Arial" w:eastAsia="Arial" w:hAnsi="Arial"/>
                <w:sz w:val="19"/>
                <w:szCs w:val="19"/>
              </w:rPr>
              <w:t xml:space="preserve">• Articles of Incorporation</w:t>
            </w:r>
          </w:p>
          <w:p>
            <w:pPr>
              <w:spacing w:after="40" w:before="40"/>
            </w:pPr>
            <w:r>
              <w:rPr>
                <w:rFonts w:ascii="Arial" w:cs="Arial" w:eastAsia="Arial" w:hAnsi="Arial"/>
                <w:sz w:val="19"/>
                <w:szCs w:val="19"/>
              </w:rPr>
              <w:t xml:space="preserve">• Bylaws (all versions)</w:t>
            </w:r>
          </w:p>
          <w:p>
            <w:pPr>
              <w:spacing w:after="40" w:before="40"/>
            </w:pPr>
            <w:r>
              <w:rPr>
                <w:rFonts w:ascii="Arial" w:cs="Arial" w:eastAsia="Arial" w:hAnsi="Arial"/>
                <w:sz w:val="19"/>
                <w:szCs w:val="19"/>
              </w:rPr>
              <w:t xml:space="preserve">• Board Resolutions</w:t>
            </w:r>
          </w:p>
          <w:p>
            <w:pPr>
              <w:spacing w:after="40" w:before="40"/>
            </w:pPr>
            <w:r>
              <w:rPr>
                <w:rFonts w:ascii="Arial" w:cs="Arial" w:eastAsia="Arial" w:hAnsi="Arial"/>
                <w:sz w:val="19"/>
                <w:szCs w:val="19"/>
              </w:rPr>
              <w:t xml:space="preserve">• Meeting Minutes</w:t>
            </w:r>
          </w:p>
          <w:p>
            <w:pPr>
              <w:spacing w:after="40" w:before="40"/>
            </w:pPr>
            <w:r>
              <w:rPr>
                <w:rFonts w:ascii="Arial" w:cs="Arial" w:eastAsia="Arial" w:hAnsi="Arial"/>
                <w:sz w:val="19"/>
                <w:szCs w:val="19"/>
              </w:rPr>
              <w:t xml:space="preserve">• IRS Determination Letter</w:t>
            </w:r>
          </w:p>
          <w:p>
            <w:pPr>
              <w:spacing w:after="40" w:before="40"/>
            </w:pPr>
            <w:r>
              <w:rPr>
                <w:rFonts w:ascii="Arial" w:cs="Arial" w:eastAsia="Arial" w:hAnsi="Arial"/>
                <w:sz w:val="19"/>
                <w:szCs w:val="19"/>
              </w:rPr>
              <w:t xml:space="preserve">• Annual Form 990 filings</w:t>
            </w:r>
          </w:p>
          <w:p>
            <w:pPr>
              <w:spacing w:after="40" w:before="40"/>
            </w:pPr>
            <w:r>
              <w:rPr>
                <w:rFonts w:ascii="Arial" w:cs="Arial" w:eastAsia="Arial" w:hAnsi="Arial"/>
                <w:sz w:val="19"/>
                <w:szCs w:val="19"/>
              </w:rPr>
              <w:t xml:space="preserve">• Audit reports</w:t>
            </w:r>
          </w:p>
        </w:tc>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PERMANENT</w:t>
            </w:r>
          </w:p>
        </w:tc>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i/>
                <w:iCs/>
                <w:sz w:val="19"/>
                <w:szCs w:val="19"/>
              </w:rPr>
              <w:t xml:space="preserve">NC Corporate Law; IRS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Real Property Records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9"/>
                <w:szCs w:val="19"/>
              </w:rPr>
              <w:t xml:space="preserve">• Deeds and title documents</w:t>
            </w:r>
          </w:p>
          <w:p>
            <w:pPr>
              <w:spacing w:after="40" w:before="40"/>
            </w:pPr>
            <w:r>
              <w:rPr>
                <w:rFonts w:ascii="Arial" w:cs="Arial" w:eastAsia="Arial" w:hAnsi="Arial"/>
                <w:sz w:val="19"/>
                <w:szCs w:val="19"/>
              </w:rPr>
              <w:t xml:space="preserve">• Title insurance policies</w:t>
            </w:r>
          </w:p>
          <w:p>
            <w:pPr>
              <w:spacing w:after="40" w:before="40"/>
            </w:pPr>
            <w:r>
              <w:rPr>
                <w:rFonts w:ascii="Arial" w:cs="Arial" w:eastAsia="Arial" w:hAnsi="Arial"/>
                <w:sz w:val="19"/>
                <w:szCs w:val="19"/>
              </w:rPr>
              <w:t xml:space="preserve">• Purchase agreements</w:t>
            </w:r>
          </w:p>
          <w:p>
            <w:pPr>
              <w:spacing w:after="40" w:before="40"/>
            </w:pPr>
            <w:r>
              <w:rPr>
                <w:rFonts w:ascii="Arial" w:cs="Arial" w:eastAsia="Arial" w:hAnsi="Arial"/>
                <w:sz w:val="19"/>
                <w:szCs w:val="19"/>
              </w:rPr>
              <w:t xml:space="preserve">• Mortgage / loan documents</w:t>
            </w:r>
          </w:p>
          <w:p>
            <w:pPr>
              <w:spacing w:after="40" w:before="40"/>
            </w:pPr>
            <w:r>
              <w:rPr>
                <w:rFonts w:ascii="Arial" w:cs="Arial" w:eastAsia="Arial" w:hAnsi="Arial"/>
                <w:sz w:val="19"/>
                <w:szCs w:val="19"/>
              </w:rPr>
              <w:t xml:space="preserve">• Surveys and appraisals</w:t>
            </w:r>
          </w:p>
          <w:p>
            <w:pPr>
              <w:spacing w:after="40" w:before="40"/>
            </w:pPr>
            <w:r>
              <w:rPr>
                <w:rFonts w:ascii="Arial" w:cs="Arial" w:eastAsia="Arial" w:hAnsi="Arial"/>
                <w:sz w:val="19"/>
                <w:szCs w:val="19"/>
              </w:rPr>
              <w:t xml:space="preserve">• Environmental reports</w:t>
            </w:r>
          </w:p>
          <w:p>
            <w:pPr>
              <w:spacing w:after="40" w:before="40"/>
            </w:pPr>
            <w:r>
              <w:rPr>
                <w:rFonts w:ascii="Arial" w:cs="Arial" w:eastAsia="Arial" w:hAnsi="Arial"/>
                <w:sz w:val="19"/>
                <w:szCs w:val="19"/>
              </w:rPr>
              <w:t xml:space="preserve">• Closing statements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PERMANENT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NC Property Law; Lender requirements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19"/>
                <w:szCs w:val="19"/>
              </w:rPr>
              <w:t xml:space="preserve">Financial Records</w:t>
            </w:r>
          </w:p>
        </w:tc>
        <w:tc>
          <w:tcPr>
            <w:tcW w:type="dxa" w:w="3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after="40" w:before="40"/>
            </w:pPr>
            <w:r>
              <w:rPr>
                <w:rFonts w:ascii="Arial" w:cs="Arial" w:eastAsia="Arial" w:hAnsi="Arial"/>
                <w:sz w:val="19"/>
                <w:szCs w:val="19"/>
              </w:rPr>
              <w:t xml:space="preserve">• General ledger</w:t>
            </w:r>
          </w:p>
          <w:p>
            <w:pPr>
              <w:spacing w:after="40" w:before="40"/>
            </w:pPr>
            <w:r>
              <w:rPr>
                <w:rFonts w:ascii="Arial" w:cs="Arial" w:eastAsia="Arial" w:hAnsi="Arial"/>
                <w:sz w:val="19"/>
                <w:szCs w:val="19"/>
              </w:rPr>
              <w:t xml:space="preserve">• Bank statements</w:t>
            </w:r>
          </w:p>
          <w:p>
            <w:pPr>
              <w:spacing w:after="40" w:before="40"/>
            </w:pPr>
            <w:r>
              <w:rPr>
                <w:rFonts w:ascii="Arial" w:cs="Arial" w:eastAsia="Arial" w:hAnsi="Arial"/>
                <w:sz w:val="19"/>
                <w:szCs w:val="19"/>
              </w:rPr>
              <w:t xml:space="preserve">• Accounts payable/receivable</w:t>
            </w:r>
          </w:p>
          <w:p>
            <w:pPr>
              <w:spacing w:after="40" w:before="40"/>
            </w:pPr>
            <w:r>
              <w:rPr>
                <w:rFonts w:ascii="Arial" w:cs="Arial" w:eastAsia="Arial" w:hAnsi="Arial"/>
                <w:sz w:val="19"/>
                <w:szCs w:val="19"/>
              </w:rPr>
              <w:t xml:space="preserve">• Payroll records</w:t>
            </w:r>
          </w:p>
          <w:p>
            <w:pPr>
              <w:spacing w:after="40" w:before="40"/>
            </w:pPr>
            <w:r>
              <w:rPr>
                <w:rFonts w:ascii="Arial" w:cs="Arial" w:eastAsia="Arial" w:hAnsi="Arial"/>
                <w:sz w:val="19"/>
                <w:szCs w:val="19"/>
              </w:rPr>
              <w:t xml:space="preserve">• Annual budgets</w:t>
            </w:r>
          </w:p>
          <w:p>
            <w:pPr>
              <w:spacing w:after="40" w:before="40"/>
            </w:pPr>
            <w:r>
              <w:rPr>
                <w:rFonts w:ascii="Arial" w:cs="Arial" w:eastAsia="Arial" w:hAnsi="Arial"/>
                <w:sz w:val="19"/>
                <w:szCs w:val="19"/>
              </w:rPr>
              <w:t xml:space="preserve">• Expense reports</w:t>
            </w:r>
          </w:p>
          <w:p>
            <w:pPr>
              <w:spacing w:after="40" w:before="40"/>
            </w:pPr>
            <w:r>
              <w:rPr>
                <w:rFonts w:ascii="Arial" w:cs="Arial" w:eastAsia="Arial" w:hAnsi="Arial"/>
                <w:sz w:val="19"/>
                <w:szCs w:val="19"/>
              </w:rPr>
              <w:t xml:space="preserve">• Grant financial reports</w:t>
            </w:r>
          </w:p>
        </w:tc>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7 Years</w:t>
            </w:r>
          </w:p>
        </w:tc>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i/>
                <w:iCs/>
                <w:sz w:val="19"/>
                <w:szCs w:val="19"/>
              </w:rPr>
              <w:t xml:space="preserve">IRS; Uniform Guidance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Tax and Government Filings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9"/>
                <w:szCs w:val="19"/>
              </w:rPr>
              <w:t xml:space="preserve">• IRS Form 990 (all years)</w:t>
            </w:r>
          </w:p>
          <w:p>
            <w:pPr>
              <w:spacing w:after="40" w:before="40"/>
            </w:pPr>
            <w:r>
              <w:rPr>
                <w:rFonts w:ascii="Arial" w:cs="Arial" w:eastAsia="Arial" w:hAnsi="Arial"/>
                <w:sz w:val="19"/>
                <w:szCs w:val="19"/>
              </w:rPr>
              <w:t xml:space="preserve">• State charitable registration filings</w:t>
            </w:r>
          </w:p>
          <w:p>
            <w:pPr>
              <w:spacing w:after="40" w:before="40"/>
            </w:pPr>
            <w:r>
              <w:rPr>
                <w:rFonts w:ascii="Arial" w:cs="Arial" w:eastAsia="Arial" w:hAnsi="Arial"/>
                <w:sz w:val="19"/>
                <w:szCs w:val="19"/>
              </w:rPr>
              <w:t xml:space="preserve">• W-2 and 1099 forms</w:t>
            </w:r>
          </w:p>
          <w:p>
            <w:pPr>
              <w:spacing w:after="40" w:before="40"/>
            </w:pPr>
            <w:r>
              <w:rPr>
                <w:rFonts w:ascii="Arial" w:cs="Arial" w:eastAsia="Arial" w:hAnsi="Arial"/>
                <w:sz w:val="19"/>
                <w:szCs w:val="19"/>
              </w:rPr>
              <w:t xml:space="preserve">• Payroll tax returns</w:t>
            </w:r>
          </w:p>
          <w:p>
            <w:pPr>
              <w:spacing w:after="40" w:before="40"/>
            </w:pPr>
            <w:r>
              <w:rPr>
                <w:rFonts w:ascii="Arial" w:cs="Arial" w:eastAsia="Arial" w:hAnsi="Arial"/>
                <w:sz w:val="19"/>
                <w:szCs w:val="19"/>
              </w:rPr>
              <w:t xml:space="preserve">• Grant compliance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7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IRS; NC law</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19"/>
                <w:szCs w:val="19"/>
              </w:rPr>
              <w:t xml:space="preserve">Grant and Contract Records</w:t>
            </w:r>
          </w:p>
        </w:tc>
        <w:tc>
          <w:tcPr>
            <w:tcW w:type="dxa" w:w="3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after="40" w:before="40"/>
            </w:pPr>
            <w:r>
              <w:rPr>
                <w:rFonts w:ascii="Arial" w:cs="Arial" w:eastAsia="Arial" w:hAnsi="Arial"/>
                <w:sz w:val="19"/>
                <w:szCs w:val="19"/>
              </w:rPr>
              <w:t xml:space="preserve">• Grant agreements</w:t>
            </w:r>
          </w:p>
          <w:p>
            <w:pPr>
              <w:spacing w:after="40" w:before="40"/>
            </w:pPr>
            <w:r>
              <w:rPr>
                <w:rFonts w:ascii="Arial" w:cs="Arial" w:eastAsia="Arial" w:hAnsi="Arial"/>
                <w:sz w:val="19"/>
                <w:szCs w:val="19"/>
              </w:rPr>
              <w:t xml:space="preserve">• Federal award documents</w:t>
            </w:r>
          </w:p>
          <w:p>
            <w:pPr>
              <w:spacing w:after="40" w:before="40"/>
            </w:pPr>
            <w:r>
              <w:rPr>
                <w:rFonts w:ascii="Arial" w:cs="Arial" w:eastAsia="Arial" w:hAnsi="Arial"/>
                <w:sz w:val="19"/>
                <w:szCs w:val="19"/>
              </w:rPr>
              <w:t xml:space="preserve">• Subcontract agreements</w:t>
            </w:r>
          </w:p>
          <w:p>
            <w:pPr>
              <w:spacing w:after="40" w:before="40"/>
            </w:pPr>
            <w:r>
              <w:rPr>
                <w:rFonts w:ascii="Arial" w:cs="Arial" w:eastAsia="Arial" w:hAnsi="Arial"/>
                <w:sz w:val="19"/>
                <w:szCs w:val="19"/>
              </w:rPr>
              <w:t xml:space="preserve">• Programmatic reports</w:t>
            </w:r>
          </w:p>
          <w:p>
            <w:pPr>
              <w:spacing w:after="40" w:before="40"/>
            </w:pPr>
            <w:r>
              <w:rPr>
                <w:rFonts w:ascii="Arial" w:cs="Arial" w:eastAsia="Arial" w:hAnsi="Arial"/>
                <w:sz w:val="19"/>
                <w:szCs w:val="19"/>
              </w:rPr>
              <w:t xml:space="preserve">• Grant correspondence</w:t>
            </w:r>
          </w:p>
          <w:p>
            <w:pPr>
              <w:spacing w:after="40" w:before="40"/>
            </w:pPr>
            <w:r>
              <w:rPr>
                <w:rFonts w:ascii="Arial" w:cs="Arial" w:eastAsia="Arial" w:hAnsi="Arial"/>
                <w:sz w:val="19"/>
                <w:szCs w:val="19"/>
              </w:rPr>
              <w:t xml:space="preserve">• CDBG, HOME, HUD records</w:t>
            </w:r>
          </w:p>
        </w:tc>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7 Years (or per grant terms)</w:t>
            </w:r>
          </w:p>
        </w:tc>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i/>
                <w:iCs/>
                <w:sz w:val="19"/>
                <w:szCs w:val="19"/>
              </w:rPr>
              <w:t xml:space="preserve">2 CFR Part 200; HUD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Governance and Compliance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9"/>
                <w:szCs w:val="19"/>
              </w:rPr>
              <w:t xml:space="preserve">• Conflict of Interest disclosures</w:t>
            </w:r>
          </w:p>
          <w:p>
            <w:pPr>
              <w:spacing w:after="40" w:before="40"/>
            </w:pPr>
            <w:r>
              <w:rPr>
                <w:rFonts w:ascii="Arial" w:cs="Arial" w:eastAsia="Arial" w:hAnsi="Arial"/>
                <w:sz w:val="19"/>
                <w:szCs w:val="19"/>
              </w:rPr>
              <w:t xml:space="preserve">• Whistleblower reports</w:t>
            </w:r>
          </w:p>
          <w:p>
            <w:pPr>
              <w:spacing w:after="40" w:before="40"/>
            </w:pPr>
            <w:r>
              <w:rPr>
                <w:rFonts w:ascii="Arial" w:cs="Arial" w:eastAsia="Arial" w:hAnsi="Arial"/>
                <w:sz w:val="19"/>
                <w:szCs w:val="19"/>
              </w:rPr>
              <w:t xml:space="preserve">• Investigation records</w:t>
            </w:r>
          </w:p>
          <w:p>
            <w:pPr>
              <w:spacing w:after="40" w:before="40"/>
            </w:pPr>
            <w:r>
              <w:rPr>
                <w:rFonts w:ascii="Arial" w:cs="Arial" w:eastAsia="Arial" w:hAnsi="Arial"/>
                <w:sz w:val="19"/>
                <w:szCs w:val="19"/>
              </w:rPr>
              <w:t xml:space="preserve">• Insurance policies</w:t>
            </w:r>
          </w:p>
          <w:p>
            <w:pPr>
              <w:spacing w:after="40" w:before="40"/>
            </w:pPr>
            <w:r>
              <w:rPr>
                <w:rFonts w:ascii="Arial" w:cs="Arial" w:eastAsia="Arial" w:hAnsi="Arial"/>
                <w:sz w:val="19"/>
                <w:szCs w:val="19"/>
              </w:rPr>
              <w:t xml:space="preserve">• Licenses and permits</w:t>
            </w:r>
          </w:p>
          <w:p>
            <w:pPr>
              <w:spacing w:after="40" w:before="40"/>
            </w:pPr>
            <w:r>
              <w:rPr>
                <w:rFonts w:ascii="Arial" w:cs="Arial" w:eastAsia="Arial" w:hAnsi="Arial"/>
                <w:sz w:val="19"/>
                <w:szCs w:val="19"/>
              </w:rPr>
              <w:t xml:space="preserve">• Employee agreements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7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IRS Form 990; NC law</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19"/>
                <w:szCs w:val="19"/>
              </w:rPr>
              <w:t xml:space="preserve">Contracts and Agreements</w:t>
            </w:r>
          </w:p>
        </w:tc>
        <w:tc>
          <w:tcPr>
            <w:tcW w:type="dxa" w:w="3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after="40" w:before="40"/>
            </w:pPr>
            <w:r>
              <w:rPr>
                <w:rFonts w:ascii="Arial" w:cs="Arial" w:eastAsia="Arial" w:hAnsi="Arial"/>
                <w:sz w:val="19"/>
                <w:szCs w:val="19"/>
              </w:rPr>
              <w:t xml:space="preserve">• Vendor contracts</w:t>
            </w:r>
          </w:p>
          <w:p>
            <w:pPr>
              <w:spacing w:after="40" w:before="40"/>
            </w:pPr>
            <w:r>
              <w:rPr>
                <w:rFonts w:ascii="Arial" w:cs="Arial" w:eastAsia="Arial" w:hAnsi="Arial"/>
                <w:sz w:val="19"/>
                <w:szCs w:val="19"/>
              </w:rPr>
              <w:t xml:space="preserve">• Service agreements</w:t>
            </w:r>
          </w:p>
          <w:p>
            <w:pPr>
              <w:spacing w:after="40" w:before="40"/>
            </w:pPr>
            <w:r>
              <w:rPr>
                <w:rFonts w:ascii="Arial" w:cs="Arial" w:eastAsia="Arial" w:hAnsi="Arial"/>
                <w:sz w:val="19"/>
                <w:szCs w:val="19"/>
              </w:rPr>
              <w:t xml:space="preserve">• Consultant agreements</w:t>
            </w:r>
          </w:p>
          <w:p>
            <w:pPr>
              <w:spacing w:after="40" w:before="40"/>
            </w:pPr>
            <w:r>
              <w:rPr>
                <w:rFonts w:ascii="Arial" w:cs="Arial" w:eastAsia="Arial" w:hAnsi="Arial"/>
                <w:sz w:val="19"/>
                <w:szCs w:val="19"/>
              </w:rPr>
              <w:t xml:space="preserve">• Partnership agreements</w:t>
            </w:r>
          </w:p>
          <w:p>
            <w:pPr>
              <w:spacing w:after="40" w:before="40"/>
            </w:pPr>
            <w:r>
              <w:rPr>
                <w:rFonts w:ascii="Arial" w:cs="Arial" w:eastAsia="Arial" w:hAnsi="Arial"/>
                <w:sz w:val="19"/>
                <w:szCs w:val="19"/>
              </w:rPr>
              <w:t xml:space="preserve">• MOUs and MOAs</w:t>
            </w:r>
          </w:p>
          <w:p>
            <w:pPr>
              <w:spacing w:after="40" w:before="40"/>
            </w:pPr>
            <w:r>
              <w:rPr>
                <w:rFonts w:ascii="Arial" w:cs="Arial" w:eastAsia="Arial" w:hAnsi="Arial"/>
                <w:sz w:val="19"/>
                <w:szCs w:val="19"/>
              </w:rPr>
              <w:t xml:space="preserve">• Lease agreements</w:t>
            </w:r>
          </w:p>
        </w:tc>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7 Years after expiration</w:t>
            </w:r>
          </w:p>
        </w:tc>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i/>
                <w:iCs/>
                <w:sz w:val="19"/>
                <w:szCs w:val="19"/>
              </w:rPr>
              <w:t xml:space="preserve">Contract law; Statute of limitations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Human Resources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9"/>
                <w:szCs w:val="19"/>
              </w:rPr>
              <w:t xml:space="preserve">• Employment applications (hired)</w:t>
            </w:r>
          </w:p>
          <w:p>
            <w:pPr>
              <w:spacing w:after="40" w:before="40"/>
            </w:pPr>
            <w:r>
              <w:rPr>
                <w:rFonts w:ascii="Arial" w:cs="Arial" w:eastAsia="Arial" w:hAnsi="Arial"/>
                <w:sz w:val="19"/>
                <w:szCs w:val="19"/>
              </w:rPr>
              <w:t xml:space="preserve">• Personnel files</w:t>
            </w:r>
          </w:p>
          <w:p>
            <w:pPr>
              <w:spacing w:after="40" w:before="40"/>
            </w:pPr>
            <w:r>
              <w:rPr>
                <w:rFonts w:ascii="Arial" w:cs="Arial" w:eastAsia="Arial" w:hAnsi="Arial"/>
                <w:sz w:val="19"/>
                <w:szCs w:val="19"/>
              </w:rPr>
              <w:t xml:space="preserve">• Benefits records</w:t>
            </w:r>
          </w:p>
          <w:p>
            <w:pPr>
              <w:spacing w:after="40" w:before="40"/>
            </w:pPr>
            <w:r>
              <w:rPr>
                <w:rFonts w:ascii="Arial" w:cs="Arial" w:eastAsia="Arial" w:hAnsi="Arial"/>
                <w:sz w:val="19"/>
                <w:szCs w:val="19"/>
              </w:rPr>
              <w:t xml:space="preserve">• EEOC / discrimination records</w:t>
            </w:r>
          </w:p>
          <w:p>
            <w:pPr>
              <w:spacing w:after="40" w:before="40"/>
            </w:pPr>
            <w:r>
              <w:rPr>
                <w:rFonts w:ascii="Arial" w:cs="Arial" w:eastAsia="Arial" w:hAnsi="Arial"/>
                <w:sz w:val="19"/>
                <w:szCs w:val="19"/>
              </w:rPr>
              <w:t xml:space="preserve">• Workers comp records</w:t>
            </w:r>
          </w:p>
          <w:p>
            <w:pPr>
              <w:spacing w:after="40" w:before="40"/>
            </w:pPr>
            <w:r>
              <w:rPr>
                <w:rFonts w:ascii="Arial" w:cs="Arial" w:eastAsia="Arial" w:hAnsi="Arial"/>
                <w:sz w:val="19"/>
                <w:szCs w:val="19"/>
              </w:rPr>
              <w:t xml:space="preserve">• I-9 forms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7 Years after separation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EEOC; FLSA; NC law</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19"/>
                <w:szCs w:val="19"/>
              </w:rPr>
              <w:t xml:space="preserve">Electronic Communications</w:t>
            </w:r>
          </w:p>
        </w:tc>
        <w:tc>
          <w:tcPr>
            <w:tcW w:type="dxa" w:w="3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after="40" w:before="40"/>
            </w:pPr>
            <w:r>
              <w:rPr>
                <w:rFonts w:ascii="Arial" w:cs="Arial" w:eastAsia="Arial" w:hAnsi="Arial"/>
                <w:sz w:val="19"/>
                <w:szCs w:val="19"/>
              </w:rPr>
              <w:t xml:space="preserve">• Board and officer emails re: governance</w:t>
            </w:r>
          </w:p>
          <w:p>
            <w:pPr>
              <w:spacing w:after="40" w:before="40"/>
            </w:pPr>
            <w:r>
              <w:rPr>
                <w:rFonts w:ascii="Arial" w:cs="Arial" w:eastAsia="Arial" w:hAnsi="Arial"/>
                <w:sz w:val="19"/>
                <w:szCs w:val="19"/>
              </w:rPr>
              <w:t xml:space="preserve">• Emails re: property transactions</w:t>
            </w:r>
          </w:p>
          <w:p>
            <w:pPr>
              <w:spacing w:after="40" w:before="40"/>
            </w:pPr>
            <w:r>
              <w:rPr>
                <w:rFonts w:ascii="Arial" w:cs="Arial" w:eastAsia="Arial" w:hAnsi="Arial"/>
                <w:sz w:val="19"/>
                <w:szCs w:val="19"/>
              </w:rPr>
              <w:t xml:space="preserve">• Emails re: grants or contracts</w:t>
            </w:r>
          </w:p>
          <w:p>
            <w:pPr>
              <w:spacing w:after="40" w:before="40"/>
            </w:pPr>
            <w:r>
              <w:rPr>
                <w:rFonts w:ascii="Arial" w:cs="Arial" w:eastAsia="Arial" w:hAnsi="Arial"/>
                <w:sz w:val="19"/>
                <w:szCs w:val="19"/>
              </w:rPr>
              <w:t xml:space="preserve">• Emails re: legal matters</w:t>
            </w:r>
          </w:p>
        </w:tc>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3–7 Years (by subject matter)</w:t>
            </w:r>
          </w:p>
        </w:tc>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i/>
                <w:iCs/>
                <w:sz w:val="19"/>
                <w:szCs w:val="19"/>
              </w:rPr>
              <w:t xml:space="preserve">Apply retention period of underlying topic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General Correspondence and Routine Records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9"/>
                <w:szCs w:val="19"/>
              </w:rPr>
              <w:t xml:space="preserve">• Routine operating correspondence</w:t>
            </w:r>
          </w:p>
          <w:p>
            <w:pPr>
              <w:spacing w:after="40" w:before="40"/>
            </w:pPr>
            <w:r>
              <w:rPr>
                <w:rFonts w:ascii="Arial" w:cs="Arial" w:eastAsia="Arial" w:hAnsi="Arial"/>
                <w:sz w:val="19"/>
                <w:szCs w:val="19"/>
              </w:rPr>
              <w:t xml:space="preserve">• Event records</w:t>
            </w:r>
          </w:p>
          <w:p>
            <w:pPr>
              <w:spacing w:after="40" w:before="40"/>
            </w:pPr>
            <w:r>
              <w:rPr>
                <w:rFonts w:ascii="Arial" w:cs="Arial" w:eastAsia="Arial" w:hAnsi="Arial"/>
                <w:sz w:val="19"/>
                <w:szCs w:val="19"/>
              </w:rPr>
              <w:t xml:space="preserve">• Marketing materials</w:t>
            </w:r>
          </w:p>
          <w:p>
            <w:pPr>
              <w:spacing w:after="40" w:before="40"/>
            </w:pPr>
            <w:r>
              <w:rPr>
                <w:rFonts w:ascii="Arial" w:cs="Arial" w:eastAsia="Arial" w:hAnsi="Arial"/>
                <w:sz w:val="19"/>
                <w:szCs w:val="19"/>
              </w:rPr>
              <w:t xml:space="preserve">• Program attendance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3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Operational standard</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19"/>
                <w:szCs w:val="19"/>
              </w:rPr>
              <w:t xml:space="preserve">Obsolete / Non-Essential Records</w:t>
            </w:r>
          </w:p>
        </w:tc>
        <w:tc>
          <w:tcPr>
            <w:tcW w:type="dxa" w:w="3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after="40" w:before="40"/>
            </w:pPr>
            <w:r>
              <w:rPr>
                <w:rFonts w:ascii="Arial" w:cs="Arial" w:eastAsia="Arial" w:hAnsi="Arial"/>
                <w:sz w:val="19"/>
                <w:szCs w:val="19"/>
              </w:rPr>
              <w:t xml:space="preserve">• Duplicate copies (after original retained)</w:t>
            </w:r>
          </w:p>
          <w:p>
            <w:pPr>
              <w:spacing w:after="40" w:before="40"/>
            </w:pPr>
            <w:r>
              <w:rPr>
                <w:rFonts w:ascii="Arial" w:cs="Arial" w:eastAsia="Arial" w:hAnsi="Arial"/>
                <w:sz w:val="19"/>
                <w:szCs w:val="19"/>
              </w:rPr>
              <w:t xml:space="preserve">• Routine scheduling emails</w:t>
            </w:r>
          </w:p>
          <w:p>
            <w:pPr>
              <w:spacing w:after="40" w:before="40"/>
            </w:pPr>
            <w:r>
              <w:rPr>
                <w:rFonts w:ascii="Arial" w:cs="Arial" w:eastAsia="Arial" w:hAnsi="Arial"/>
                <w:sz w:val="19"/>
                <w:szCs w:val="19"/>
              </w:rPr>
              <w:t xml:space="preserve">• Personal notes not constituting official records</w:t>
            </w:r>
          </w:p>
        </w:tc>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Until no longer needed</w:t>
            </w:r>
          </w:p>
        </w:tc>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i/>
                <w:iCs/>
                <w:sz w:val="19"/>
                <w:szCs w:val="19"/>
              </w:rPr>
              <w:t xml:space="preserve">Dispose per destruction procedures</w:t>
            </w:r>
          </w:p>
        </w:tc>
      </w:tr>
    </w:tbl>
    <w:p>
      <w:pPr>
        <w:spacing w:after="80" w:before="80"/>
      </w:pPr>
      <w:r>
        <w:t xml:space="preserve"/>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2.3 — Electronic Records</w:t>
      </w:r>
    </w:p>
    <w:p>
      <w:pPr>
        <w:spacing w:after="80" w:before="80"/>
      </w:pPr>
      <w:r>
        <w:rPr>
          <w:rFonts w:ascii="Arial" w:cs="Arial" w:eastAsia="Arial" w:hAnsi="Arial"/>
          <w:sz w:val="22"/>
          <w:szCs w:val="22"/>
        </w:rPr>
        <w:t xml:space="preserve">Electronic records are subject to the same retention requirements as paper records. The Corporation shall:</w:t>
      </w:r>
    </w:p>
    <w:p>
      <w:pPr>
        <w:pStyle w:val="ListParagraph"/>
        <w:numPr>
          <w:ilvl w:val="0"/>
          <w:numId w:val="2"/>
        </w:numPr>
        <w:spacing w:after="60" w:before="60"/>
      </w:pPr>
      <w:r>
        <w:rPr>
          <w:rFonts w:ascii="Arial" w:cs="Arial" w:eastAsia="Arial" w:hAnsi="Arial"/>
          <w:sz w:val="22"/>
          <w:szCs w:val="22"/>
        </w:rPr>
        <w:t xml:space="preserve">Maintain backups of all electronic records in a secure, off-site or cloud-based location;</w:t>
      </w:r>
    </w:p>
    <w:p>
      <w:pPr>
        <w:pStyle w:val="ListParagraph"/>
        <w:numPr>
          <w:ilvl w:val="0"/>
          <w:numId w:val="2"/>
        </w:numPr>
        <w:spacing w:after="60" w:before="60"/>
      </w:pPr>
      <w:r>
        <w:rPr>
          <w:rFonts w:ascii="Arial" w:cs="Arial" w:eastAsia="Arial" w:hAnsi="Arial"/>
          <w:sz w:val="22"/>
          <w:szCs w:val="22"/>
        </w:rPr>
        <w:t xml:space="preserve">Ensure that electronic records are accessible and legible throughout the retention period, including after software upgrades or system migrations;</w:t>
      </w:r>
    </w:p>
    <w:p>
      <w:pPr>
        <w:pStyle w:val="ListParagraph"/>
        <w:numPr>
          <w:ilvl w:val="0"/>
          <w:numId w:val="2"/>
        </w:numPr>
        <w:spacing w:after="60" w:before="60"/>
      </w:pPr>
      <w:r>
        <w:rPr>
          <w:rFonts w:ascii="Arial" w:cs="Arial" w:eastAsia="Arial" w:hAnsi="Arial"/>
          <w:sz w:val="22"/>
          <w:szCs w:val="22"/>
        </w:rPr>
        <w:t xml:space="preserve">Apply the retention schedule based on the content and subject matter of the electronic record, not its format;</w:t>
      </w:r>
    </w:p>
    <w:p>
      <w:pPr>
        <w:pStyle w:val="ListParagraph"/>
        <w:numPr>
          <w:ilvl w:val="0"/>
          <w:numId w:val="2"/>
        </w:numPr>
        <w:spacing w:after="60" w:before="60"/>
      </w:pPr>
      <w:r>
        <w:rPr>
          <w:rFonts w:ascii="Arial" w:cs="Arial" w:eastAsia="Arial" w:hAnsi="Arial"/>
          <w:sz w:val="22"/>
          <w:szCs w:val="22"/>
        </w:rPr>
        <w:t xml:space="preserve">Treat email communications regarding Board decisions, property transactions, grants, contracts, legal matters, and financial transactions as official records subject to applicable retention periods.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2.4 — Storage and Security</w:t>
      </w:r>
    </w:p>
    <w:p>
      <w:pPr>
        <w:pStyle w:val="ListParagraph"/>
        <w:numPr>
          <w:ilvl w:val="0"/>
          <w:numId w:val="2"/>
        </w:numPr>
        <w:spacing w:after="60" w:before="60"/>
      </w:pPr>
      <w:r>
        <w:rPr>
          <w:rFonts w:ascii="Arial" w:cs="Arial" w:eastAsia="Arial" w:hAnsi="Arial"/>
          <w:sz w:val="22"/>
          <w:szCs w:val="22"/>
        </w:rPr>
        <w:t xml:space="preserve">Permanent corporate records shall be maintained in a secure, fireproof location at the Corporation's principal office or in a secure cloud-based records management system;</w:t>
      </w:r>
    </w:p>
    <w:p>
      <w:pPr>
        <w:pStyle w:val="ListParagraph"/>
        <w:numPr>
          <w:ilvl w:val="0"/>
          <w:numId w:val="2"/>
        </w:numPr>
        <w:spacing w:after="60" w:before="60"/>
      </w:pPr>
      <w:r>
        <w:rPr>
          <w:rFonts w:ascii="Arial" w:cs="Arial" w:eastAsia="Arial" w:hAnsi="Arial"/>
          <w:sz w:val="22"/>
          <w:szCs w:val="22"/>
        </w:rPr>
        <w:t xml:space="preserve">Physical records shall be protected from unauthorized access, water, fire, and environmental damage;</w:t>
      </w:r>
    </w:p>
    <w:p>
      <w:pPr>
        <w:pStyle w:val="ListParagraph"/>
        <w:numPr>
          <w:ilvl w:val="0"/>
          <w:numId w:val="2"/>
        </w:numPr>
        <w:spacing w:after="60" w:before="60"/>
      </w:pPr>
      <w:r>
        <w:rPr>
          <w:rFonts w:ascii="Arial" w:cs="Arial" w:eastAsia="Arial" w:hAnsi="Arial"/>
          <w:sz w:val="22"/>
          <w:szCs w:val="22"/>
        </w:rPr>
        <w:t xml:space="preserve">Electronic records shall be protected by password access controls, encryption, and regular security audits;</w:t>
      </w:r>
    </w:p>
    <w:p>
      <w:pPr>
        <w:pStyle w:val="ListParagraph"/>
        <w:numPr>
          <w:ilvl w:val="0"/>
          <w:numId w:val="2"/>
        </w:numPr>
        <w:spacing w:after="60" w:before="60"/>
      </w:pPr>
      <w:r>
        <w:rPr>
          <w:rFonts w:ascii="Arial" w:cs="Arial" w:eastAsia="Arial" w:hAnsi="Arial"/>
          <w:sz w:val="22"/>
          <w:szCs w:val="22"/>
        </w:rPr>
        <w:t xml:space="preserve">Only authorized officers and employees shall have access to confidential records (personnel files, whistleblower reports, legal files, Conflict of Interest disclosures);</w:t>
      </w:r>
    </w:p>
    <w:p>
      <w:pPr>
        <w:pStyle w:val="ListParagraph"/>
        <w:numPr>
          <w:ilvl w:val="0"/>
          <w:numId w:val="2"/>
        </w:numPr>
        <w:spacing w:after="60" w:before="60"/>
      </w:pPr>
      <w:r>
        <w:rPr>
          <w:rFonts w:ascii="Arial" w:cs="Arial" w:eastAsia="Arial" w:hAnsi="Arial"/>
          <w:sz w:val="22"/>
          <w:szCs w:val="22"/>
        </w:rPr>
        <w:t xml:space="preserve">Access logs shall be maintained for sensitive electronic records.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2.5 — Record Destruction Procedures</w:t>
      </w:r>
    </w:p>
    <w:p>
      <w:pPr>
        <w:spacing w:after="80" w:before="80"/>
      </w:pPr>
      <w:r>
        <w:rPr>
          <w:rFonts w:ascii="Arial" w:cs="Arial" w:eastAsia="Arial" w:hAnsi="Arial"/>
          <w:sz w:val="22"/>
          <w:szCs w:val="22"/>
        </w:rPr>
        <w:t xml:space="preserve">Records may be destroyed only when:</w:t>
      </w:r>
    </w:p>
    <w:p>
      <w:pPr>
        <w:pStyle w:val="ListParagraph"/>
        <w:numPr>
          <w:ilvl w:val="0"/>
          <w:numId w:val="3"/>
        </w:numPr>
        <w:spacing w:after="60" w:before="60"/>
      </w:pPr>
      <w:r>
        <w:rPr>
          <w:rFonts w:ascii="Arial" w:cs="Arial" w:eastAsia="Arial" w:hAnsi="Arial"/>
          <w:sz w:val="22"/>
          <w:szCs w:val="22"/>
        </w:rPr>
        <w:t xml:space="preserve">The applicable retention period has expired;</w:t>
      </w:r>
    </w:p>
    <w:p>
      <w:pPr>
        <w:pStyle w:val="ListParagraph"/>
        <w:numPr>
          <w:ilvl w:val="0"/>
          <w:numId w:val="3"/>
        </w:numPr>
        <w:spacing w:after="60" w:before="60"/>
      </w:pPr>
      <w:r>
        <w:rPr>
          <w:rFonts w:ascii="Arial" w:cs="Arial" w:eastAsia="Arial" w:hAnsi="Arial"/>
          <w:sz w:val="22"/>
          <w:szCs w:val="22"/>
        </w:rPr>
        <w:t xml:space="preserve">No legal hold is in effect (see Section 2.6);</w:t>
      </w:r>
    </w:p>
    <w:p>
      <w:pPr>
        <w:pStyle w:val="ListParagraph"/>
        <w:numPr>
          <w:ilvl w:val="0"/>
          <w:numId w:val="3"/>
        </w:numPr>
        <w:spacing w:after="60" w:before="60"/>
      </w:pPr>
      <w:r>
        <w:rPr>
          <w:rFonts w:ascii="Arial" w:cs="Arial" w:eastAsia="Arial" w:hAnsi="Arial"/>
          <w:sz w:val="22"/>
          <w:szCs w:val="22"/>
        </w:rPr>
        <w:t xml:space="preserve">The Executive Director or designee has authorized destruction in writing; and</w:t>
      </w:r>
    </w:p>
    <w:p>
      <w:pPr>
        <w:pStyle w:val="ListParagraph"/>
        <w:numPr>
          <w:ilvl w:val="0"/>
          <w:numId w:val="3"/>
        </w:numPr>
        <w:spacing w:after="60" w:before="60"/>
      </w:pPr>
      <w:r>
        <w:rPr>
          <w:rFonts w:ascii="Arial" w:cs="Arial" w:eastAsia="Arial" w:hAnsi="Arial"/>
          <w:sz w:val="22"/>
          <w:szCs w:val="22"/>
        </w:rPr>
        <w:t xml:space="preserve">The destruction is documented in a Certificate of Destruction.</w:t>
      </w:r>
    </w:p>
    <w:p>
      <w:pPr>
        <w:spacing w:after="80" w:before="80"/>
      </w:pPr>
      <w:r>
        <w:t xml:space="preserve"/>
      </w:r>
    </w:p>
    <w:p>
      <w:pPr>
        <w:spacing w:after="80" w:before="80"/>
      </w:pPr>
      <w:r>
        <w:rPr>
          <w:rFonts w:ascii="Arial" w:cs="Arial" w:eastAsia="Arial" w:hAnsi="Arial"/>
          <w:sz w:val="22"/>
          <w:szCs w:val="22"/>
        </w:rPr>
        <w:t xml:space="preserve">Destruction methods shall be appropriate to the sensitivity of the records:</w:t>
      </w:r>
    </w:p>
    <w:p>
      <w:pPr>
        <w:pStyle w:val="ListParagraph"/>
        <w:numPr>
          <w:ilvl w:val="0"/>
          <w:numId w:val="2"/>
        </w:numPr>
        <w:spacing w:after="60" w:before="60"/>
      </w:pPr>
      <w:r>
        <w:rPr>
          <w:rFonts w:ascii="Arial" w:cs="Arial" w:eastAsia="Arial" w:hAnsi="Arial"/>
          <w:sz w:val="22"/>
          <w:szCs w:val="22"/>
        </w:rPr>
        <w:t xml:space="preserve">Paper records containing confidential information (personnel, financial, legal, conflict of interest, whistleblower): cross-cut shredding or contracted secure shredding service;</w:t>
      </w:r>
    </w:p>
    <w:p>
      <w:pPr>
        <w:pStyle w:val="ListParagraph"/>
        <w:numPr>
          <w:ilvl w:val="0"/>
          <w:numId w:val="2"/>
        </w:numPr>
        <w:spacing w:after="60" w:before="60"/>
      </w:pPr>
      <w:r>
        <w:rPr>
          <w:rFonts w:ascii="Arial" w:cs="Arial" w:eastAsia="Arial" w:hAnsi="Arial"/>
          <w:sz w:val="22"/>
          <w:szCs w:val="22"/>
        </w:rPr>
        <w:t xml:space="preserve">Electronic records: secure deletion software that overwrites data; physical destruction of storage media when retiring hardware;</w:t>
      </w:r>
    </w:p>
    <w:p>
      <w:pPr>
        <w:pStyle w:val="ListParagraph"/>
        <w:numPr>
          <w:ilvl w:val="0"/>
          <w:numId w:val="2"/>
        </w:numPr>
        <w:spacing w:after="60" w:before="60"/>
      </w:pPr>
      <w:r>
        <w:rPr>
          <w:rFonts w:ascii="Arial" w:cs="Arial" w:eastAsia="Arial" w:hAnsi="Arial"/>
          <w:sz w:val="22"/>
          <w:szCs w:val="22"/>
        </w:rPr>
        <w:t xml:space="preserve">Routine paper records: standard recycling after authorization.</w:t>
      </w:r>
    </w:p>
    <w:p>
      <w:pPr>
        <w:spacing w:after="80" w:before="80"/>
      </w:pPr>
      <w:r>
        <w:t xml:space="preserve"/>
      </w:r>
    </w:p>
    <w:p>
      <w:pPr>
        <w:spacing w:after="80" w:before="80"/>
      </w:pPr>
      <w:r>
        <w:rPr>
          <w:rFonts w:ascii="Arial" w:cs="Arial" w:eastAsia="Arial" w:hAnsi="Arial"/>
          <w:sz w:val="22"/>
          <w:szCs w:val="22"/>
        </w:rPr>
        <w:t xml:space="preserve">A Certificate of Destruction shall be completed for each authorized destruction event and retained permanently in the Corporation's records management log.</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2.6 — Legal Hold (Litigation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60" w:before="60"/>
            </w:pPr>
            <w:r>
              <w:rPr>
                <w:rFonts w:ascii="Arial" w:cs="Arial" w:eastAsia="Arial" w:hAnsi="Arial"/>
                <w:sz w:val="21"/>
                <w:szCs w:val="21"/>
              </w:rPr>
              <w:t xml:space="preserve">CRITICAL REQUIREMENT: When litigation, government investigation, audit, or regulatory inquiry</w:t>
            </w:r>
          </w:p>
          <w:p>
            <w:pPr>
              <w:spacing w:after="60" w:before="60"/>
            </w:pPr>
            <w:r>
              <w:rPr>
                <w:rFonts w:ascii="Arial" w:cs="Arial" w:eastAsia="Arial" w:hAnsi="Arial"/>
                <w:sz w:val="21"/>
                <w:szCs w:val="21"/>
              </w:rPr>
              <w:t xml:space="preserve">is known or reasonably anticipated, ALL destruction of potentially relevant records</w:t>
            </w:r>
          </w:p>
          <w:p>
            <w:pPr>
              <w:spacing w:after="60" w:before="60"/>
            </w:pPr>
            <w:r>
              <w:rPr>
                <w:rFonts w:ascii="Arial" w:cs="Arial" w:eastAsia="Arial" w:hAnsi="Arial"/>
                <w:sz w:val="21"/>
                <w:szCs w:val="21"/>
              </w:rPr>
              <w:t xml:space="preserve">MUST STOP IMMEDIATELY and remain suspended until the legal hold is lifted.</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Destruction of records under a legal hold may constitute obstruction of justice</w:t>
            </w:r>
          </w:p>
          <w:p>
            <w:pPr>
              <w:spacing w:after="60" w:before="60"/>
            </w:pPr>
            <w:r>
              <w:rPr>
                <w:rFonts w:ascii="Arial" w:cs="Arial" w:eastAsia="Arial" w:hAnsi="Arial"/>
                <w:sz w:val="21"/>
                <w:szCs w:val="21"/>
              </w:rPr>
              <w:t xml:space="preserve">and expose the Corporation and its officers to severe legal liability.</w:t>
            </w:r>
          </w:p>
        </w:tc>
      </w:tr>
    </w:tbl>
    <w:p>
      <w:pPr>
        <w:spacing w:after="80" w:before="80"/>
      </w:pPr>
      <w:r>
        <w:t xml:space="preserve"/>
      </w:r>
    </w:p>
    <w:p>
      <w:pPr>
        <w:spacing w:after="80" w:before="80"/>
      </w:pPr>
      <w:r>
        <w:rPr>
          <w:rFonts w:ascii="Arial" w:cs="Arial" w:eastAsia="Arial" w:hAnsi="Arial"/>
          <w:sz w:val="22"/>
          <w:szCs w:val="22"/>
        </w:rPr>
        <w:t xml:space="preserve">Legal Hold Procedures:</w:t>
      </w:r>
    </w:p>
    <w:p>
      <w:pPr>
        <w:pStyle w:val="ListParagraph"/>
        <w:numPr>
          <w:ilvl w:val="0"/>
          <w:numId w:val="3"/>
        </w:numPr>
        <w:spacing w:after="60" w:before="60"/>
      </w:pPr>
      <w:r>
        <w:rPr>
          <w:rFonts w:ascii="Arial" w:cs="Arial" w:eastAsia="Arial" w:hAnsi="Arial"/>
          <w:sz w:val="22"/>
          <w:szCs w:val="22"/>
        </w:rPr>
        <w:t xml:space="preserve">Upon receiving notice — or upon reasonable anticipation — of litigation, government investigation, subpoena, or regulatory audit, the Executive Director shall immediately issue a written Legal Hold Notice to all relevant personnel;</w:t>
      </w:r>
    </w:p>
    <w:p>
      <w:pPr>
        <w:pStyle w:val="ListParagraph"/>
        <w:numPr>
          <w:ilvl w:val="0"/>
          <w:numId w:val="3"/>
        </w:numPr>
        <w:spacing w:after="60" w:before="60"/>
      </w:pPr>
      <w:r>
        <w:rPr>
          <w:rFonts w:ascii="Arial" w:cs="Arial" w:eastAsia="Arial" w:hAnsi="Arial"/>
          <w:sz w:val="22"/>
          <w:szCs w:val="22"/>
        </w:rPr>
        <w:t xml:space="preserve">The Legal Hold Notice shall identify: (a) the nature of the matter; (b) the categories of records subject to the hold; (c) the individuals required to preserve relevant records; and (d) the instruction that no records within scope may be deleted, destroyed, or altered until the hold is lifted in writing;</w:t>
      </w:r>
    </w:p>
    <w:p>
      <w:pPr>
        <w:pStyle w:val="ListParagraph"/>
        <w:numPr>
          <w:ilvl w:val="0"/>
          <w:numId w:val="3"/>
        </w:numPr>
        <w:spacing w:after="60" w:before="60"/>
      </w:pPr>
      <w:r>
        <w:rPr>
          <w:rFonts w:ascii="Arial" w:cs="Arial" w:eastAsia="Arial" w:hAnsi="Arial"/>
          <w:sz w:val="22"/>
          <w:szCs w:val="22"/>
        </w:rPr>
        <w:t xml:space="preserve">All scheduled destruction of records within the scope of the hold shall be suspended immediately;</w:t>
      </w:r>
    </w:p>
    <w:p>
      <w:pPr>
        <w:pStyle w:val="ListParagraph"/>
        <w:numPr>
          <w:ilvl w:val="0"/>
          <w:numId w:val="3"/>
        </w:numPr>
        <w:spacing w:after="60" w:before="60"/>
      </w:pPr>
      <w:r>
        <w:rPr>
          <w:rFonts w:ascii="Arial" w:cs="Arial" w:eastAsia="Arial" w:hAnsi="Arial"/>
          <w:sz w:val="22"/>
          <w:szCs w:val="22"/>
        </w:rPr>
        <w:t xml:space="preserve">The Legal Hold shall remain in effect until the Executive Director and legal counsel confirm in writing that the matter is fully resolved;</w:t>
      </w:r>
    </w:p>
    <w:p>
      <w:pPr>
        <w:pStyle w:val="ListParagraph"/>
        <w:numPr>
          <w:ilvl w:val="0"/>
          <w:numId w:val="3"/>
        </w:numPr>
        <w:spacing w:after="60" w:before="60"/>
      </w:pPr>
      <w:r>
        <w:rPr>
          <w:rFonts w:ascii="Arial" w:cs="Arial" w:eastAsia="Arial" w:hAnsi="Arial"/>
          <w:sz w:val="22"/>
          <w:szCs w:val="22"/>
        </w:rPr>
        <w:t xml:space="preserve">Legal Hold Notices and all related correspondence shall be retained permanently.</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2.7 — Responsibility and Oversight</w:t>
      </w:r>
    </w:p>
    <w:p>
      <w:pPr>
        <w:spacing w:after="80" w:before="80"/>
      </w:pPr>
      <w:r>
        <w:rPr>
          <w:rFonts w:ascii="Arial" w:cs="Arial" w:eastAsia="Arial" w:hAnsi="Arial"/>
          <w:sz w:val="22"/>
          <w:szCs w:val="22"/>
        </w:rPr>
        <w:t xml:space="preserve">The Executive Director is the designated Records Officer of the Corporation, responsible for:</w:t>
      </w:r>
    </w:p>
    <w:p>
      <w:pPr>
        <w:pStyle w:val="ListParagraph"/>
        <w:numPr>
          <w:ilvl w:val="0"/>
          <w:numId w:val="2"/>
        </w:numPr>
        <w:spacing w:after="60" w:before="60"/>
      </w:pPr>
      <w:r>
        <w:rPr>
          <w:rFonts w:ascii="Arial" w:cs="Arial" w:eastAsia="Arial" w:hAnsi="Arial"/>
          <w:sz w:val="22"/>
          <w:szCs w:val="22"/>
        </w:rPr>
        <w:t xml:space="preserve">Implementation and annual review of this Policy;</w:t>
      </w:r>
    </w:p>
    <w:p>
      <w:pPr>
        <w:pStyle w:val="ListParagraph"/>
        <w:numPr>
          <w:ilvl w:val="0"/>
          <w:numId w:val="2"/>
        </w:numPr>
        <w:spacing w:after="60" w:before="60"/>
      </w:pPr>
      <w:r>
        <w:rPr>
          <w:rFonts w:ascii="Arial" w:cs="Arial" w:eastAsia="Arial" w:hAnsi="Arial"/>
          <w:sz w:val="22"/>
          <w:szCs w:val="22"/>
        </w:rPr>
        <w:t xml:space="preserve">Training staff and volunteers on records retention obligations;</w:t>
      </w:r>
    </w:p>
    <w:p>
      <w:pPr>
        <w:pStyle w:val="ListParagraph"/>
        <w:numPr>
          <w:ilvl w:val="0"/>
          <w:numId w:val="2"/>
        </w:numPr>
        <w:spacing w:after="60" w:before="60"/>
      </w:pPr>
      <w:r>
        <w:rPr>
          <w:rFonts w:ascii="Arial" w:cs="Arial" w:eastAsia="Arial" w:hAnsi="Arial"/>
          <w:sz w:val="22"/>
          <w:szCs w:val="22"/>
        </w:rPr>
        <w:t xml:space="preserve">Authorizing record destruction and maintaining the Destruction Log;</w:t>
      </w:r>
    </w:p>
    <w:p>
      <w:pPr>
        <w:pStyle w:val="ListParagraph"/>
        <w:numPr>
          <w:ilvl w:val="0"/>
          <w:numId w:val="2"/>
        </w:numPr>
        <w:spacing w:after="60" w:before="60"/>
      </w:pPr>
      <w:r>
        <w:rPr>
          <w:rFonts w:ascii="Arial" w:cs="Arial" w:eastAsia="Arial" w:hAnsi="Arial"/>
          <w:sz w:val="22"/>
          <w:szCs w:val="22"/>
        </w:rPr>
        <w:t xml:space="preserve">Issuing Legal Hold Notices when required;</w:t>
      </w:r>
    </w:p>
    <w:p>
      <w:pPr>
        <w:pStyle w:val="ListParagraph"/>
        <w:numPr>
          <w:ilvl w:val="0"/>
          <w:numId w:val="2"/>
        </w:numPr>
        <w:spacing w:after="60" w:before="60"/>
      </w:pPr>
      <w:r>
        <w:rPr>
          <w:rFonts w:ascii="Arial" w:cs="Arial" w:eastAsia="Arial" w:hAnsi="Arial"/>
          <w:sz w:val="22"/>
          <w:szCs w:val="22"/>
        </w:rPr>
        <w:t xml:space="preserve">Reporting to the Board annually on the status of the Corporation's records management program.</w:t>
      </w:r>
    </w:p>
    <w:p>
      <w:pPr>
        <w:spacing w:after="80" w:before="80"/>
      </w:pPr>
      <w:r>
        <w:t xml:space="preserve"/>
      </w:r>
    </w:p>
    <w:p>
      <w:pPr>
        <w:spacing w:after="80" w:before="80"/>
      </w:pPr>
      <w:r>
        <w:rPr>
          <w:rFonts w:ascii="Arial" w:cs="Arial" w:eastAsia="Arial" w:hAnsi="Arial"/>
          <w:sz w:val="22"/>
          <w:szCs w:val="22"/>
        </w:rPr>
        <w:t xml:space="preserve">The Finance Committee shall review this Policy annually and report any compliance concerns to the full Board. The Board shall confirm compliance with this Policy in the Corporation's annual Form 990 filing (Part VI, Section B, Question 12c).</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2.8 — Relationship to Grant Compliance</w:t>
      </w:r>
    </w:p>
    <w:p>
      <w:pPr>
        <w:spacing w:after="80" w:before="80"/>
      </w:pPr>
      <w:r>
        <w:rPr>
          <w:rFonts w:ascii="Arial" w:cs="Arial" w:eastAsia="Arial" w:hAnsi="Arial"/>
          <w:sz w:val="22"/>
          <w:szCs w:val="22"/>
        </w:rPr>
        <w:t xml:space="preserve">For all records related to federal awards, this Policy supplements — and does not supersede — the recordkeeping requirements of 2 CFR Part 200 (Uniform Administrative Requirements for Federal Awards) and the specific terms of each grant agreement. Federal grant records shall be retained for the longer of: (a) seven years; (b) the period required by 2 CFR Part 200 (generally three years from submission of the final expenditure report, with exceptions); or (c) the period specified in the grant agreement. When conflicts arise, the more stringent requirement applies.</w:t>
      </w:r>
    </w:p>
    <w:p>
      <w:pPr>
        <w:pBdr>
          <w:bottom w:val="single" w:color="B8960C" w:sz="2" w:space="1"/>
        </w:pBdr>
        <w:spacing w:after="200" w:before="200"/>
      </w:pPr>
      <w:r>
        <w:t xml:space="preserve"/>
      </w:r>
    </w:p>
    <w:p>
      <w:pPr>
        <w:pStyle w:val="Heading1"/>
        <w:pBdr>
          <w:bottom w:val="single" w:color="1B3A6B" w:sz="4" w:space="4"/>
        </w:pBdr>
        <w:spacing w:after="160" w:before="360"/>
      </w:pPr>
      <w:r>
        <w:rPr>
          <w:rFonts w:ascii="Arial" w:cs="Arial" w:eastAsia="Arial" w:hAnsi="Arial"/>
          <w:b/>
          <w:bCs/>
          <w:color w:val="1B3A6B"/>
          <w:sz w:val="28"/>
          <w:szCs w:val="28"/>
        </w:rPr>
        <w:t xml:space="preserve">PART III — ADOPTION, CERTIFICATION, AND ANNUAL REVIEW</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3.1 — Adoption</w:t>
      </w:r>
    </w:p>
    <w:p>
      <w:pPr>
        <w:spacing w:after="80" w:before="80"/>
      </w:pPr>
      <w:r>
        <w:rPr>
          <w:rFonts w:ascii="Arial" w:cs="Arial" w:eastAsia="Arial" w:hAnsi="Arial"/>
          <w:sz w:val="22"/>
          <w:szCs w:val="22"/>
        </w:rPr>
        <w:t xml:space="preserve">These Policies — the Whistleblower Protection Policy and the Document Retention and Destruction Policy — were adopted by the Board of Directors of God's Name We Serve Humanity, Inc. at a duly convened meeting of the Board at which a quorum was present and voting.</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3.2 — Annual Review and 990 Certification</w:t>
      </w:r>
    </w:p>
    <w:p>
      <w:pPr>
        <w:spacing w:after="80" w:before="80"/>
      </w:pPr>
      <w:r>
        <w:rPr>
          <w:rFonts w:ascii="Arial" w:cs="Arial" w:eastAsia="Arial" w:hAnsi="Arial"/>
          <w:sz w:val="22"/>
          <w:szCs w:val="22"/>
        </w:rPr>
        <w:t xml:space="preserve">The Board of Directors shall review both Policies annually. The Corporation's annual IRS Form 990 filing shall certify that both Policies are in place (Part VI, Section B, Lines 12b and 12c). Any material revisions to these Policies shall be approved by Board majority vote and noted in the Board minutes.</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Section 3.3 — Distribution</w:t>
      </w:r>
    </w:p>
    <w:p>
      <w:pPr>
        <w:spacing w:after="80" w:before="80"/>
      </w:pPr>
      <w:r>
        <w:rPr>
          <w:rFonts w:ascii="Arial" w:cs="Arial" w:eastAsia="Arial" w:hAnsi="Arial"/>
          <w:sz w:val="22"/>
          <w:szCs w:val="22"/>
        </w:rPr>
        <w:t xml:space="preserve">Upon adoption, the Executive Director shall:</w:t>
      </w:r>
    </w:p>
    <w:p>
      <w:pPr>
        <w:pStyle w:val="ListParagraph"/>
        <w:numPr>
          <w:ilvl w:val="0"/>
          <w:numId w:val="2"/>
        </w:numPr>
        <w:spacing w:after="60" w:before="60"/>
      </w:pPr>
      <w:r>
        <w:rPr>
          <w:rFonts w:ascii="Arial" w:cs="Arial" w:eastAsia="Arial" w:hAnsi="Arial"/>
          <w:sz w:val="22"/>
          <w:szCs w:val="22"/>
        </w:rPr>
        <w:t xml:space="preserve">Distribute copies of both Policies to all directors, officers, key employees, and regular contractors;</w:t>
      </w:r>
    </w:p>
    <w:p>
      <w:pPr>
        <w:pStyle w:val="ListParagraph"/>
        <w:numPr>
          <w:ilvl w:val="0"/>
          <w:numId w:val="2"/>
        </w:numPr>
        <w:spacing w:after="60" w:before="60"/>
      </w:pPr>
      <w:r>
        <w:rPr>
          <w:rFonts w:ascii="Arial" w:cs="Arial" w:eastAsia="Arial" w:hAnsi="Arial"/>
          <w:sz w:val="22"/>
          <w:szCs w:val="22"/>
        </w:rPr>
        <w:t xml:space="preserve">Require written acknowledgment of receipt from all covered persons;</w:t>
      </w:r>
    </w:p>
    <w:p>
      <w:pPr>
        <w:pStyle w:val="ListParagraph"/>
        <w:numPr>
          <w:ilvl w:val="0"/>
          <w:numId w:val="2"/>
        </w:numPr>
        <w:spacing w:after="60" w:before="60"/>
      </w:pPr>
      <w:r>
        <w:rPr>
          <w:rFonts w:ascii="Arial" w:cs="Arial" w:eastAsia="Arial" w:hAnsi="Arial"/>
          <w:sz w:val="22"/>
          <w:szCs w:val="22"/>
        </w:rPr>
        <w:t xml:space="preserve">Include both Policies in the orientation packet for all new directors, officers, and employees;</w:t>
      </w:r>
    </w:p>
    <w:p>
      <w:pPr>
        <w:pStyle w:val="ListParagraph"/>
        <w:numPr>
          <w:ilvl w:val="0"/>
          <w:numId w:val="2"/>
        </w:numPr>
        <w:spacing w:after="60" w:before="60"/>
      </w:pPr>
      <w:r>
        <w:rPr>
          <w:rFonts w:ascii="Arial" w:cs="Arial" w:eastAsia="Arial" w:hAnsi="Arial"/>
          <w:sz w:val="22"/>
          <w:szCs w:val="22"/>
        </w:rPr>
        <w:t xml:space="preserve">Post both Policies in the Corporation's internal governance records repository.</w:t>
      </w:r>
    </w:p>
    <w:p>
      <w:pPr>
        <w:spacing w:after="80" w:before="80"/>
      </w:pPr>
      <w:r>
        <w:t xml:space="preserve"/>
      </w:r>
    </w:p>
    <w:p>
      <w:pPr>
        <w:spacing w:after="80" w:before="80"/>
      </w:pPr>
      <w:r>
        <w:t xml:space="preserve"/>
      </w:r>
    </w:p>
    <w:p>
      <w:pPr>
        <w:pBdr>
          <w:bottom w:val="single" w:color="CCCCCC" w:sz="2" w:space="4"/>
        </w:pBdr>
        <w:spacing w:after="160" w:before="300"/>
      </w:pPr>
      <w:r>
        <w:rPr>
          <w:rFonts w:ascii="Arial" w:cs="Arial" w:eastAsia="Arial" w:hAnsi="Arial"/>
          <w:b/>
          <w:bCs/>
          <w:caps/>
          <w:color w:val="1B3A6B"/>
          <w:sz w:val="26"/>
          <w:szCs w:val="26"/>
        </w:rPr>
        <w:t xml:space="preserve">ADOPTION CERTIFICATION</w:t>
      </w:r>
    </w:p>
    <w:p>
      <w:pPr>
        <w:spacing w:after="80" w:before="80"/>
      </w:pPr>
      <w:r>
        <w:t xml:space="preserve"/>
      </w:r>
    </w:p>
    <w:p>
      <w:pPr>
        <w:spacing w:after="80" w:before="80"/>
      </w:pPr>
      <w:r>
        <w:rPr>
          <w:rFonts w:ascii="Arial" w:cs="Arial" w:eastAsia="Arial" w:hAnsi="Arial"/>
          <w:sz w:val="22"/>
          <w:szCs w:val="22"/>
        </w:rPr>
        <w:t xml:space="preserve">Date of Adoption: ________________________</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left w:val="none"/>
              <w:bottom w:val="none"/>
              <w:right w:val="none"/>
            </w:tcBorders>
            <w:tcMar>
              <w:top w:type="dxa" w:w="0"/>
              <w:left w:type="dxa" w:w="0"/>
              <w:bottom w:type="dxa" w:w="0"/>
              <w:right w:type="dxa" w:w="240"/>
            </w:tcMar>
          </w:tcPr>
          <w:p>
            <w:pPr>
              <w:pBdr>
                <w:bottom w:val="single" w:color="999999" w:sz="2" w:space="2"/>
              </w:pBdr>
              <w:spacing w:after="60" w:before="200"/>
            </w:pP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Board Chair, Signature</w:t>
            </w:r>
          </w:p>
          <w:p>
            <w:pPr>
              <w:spacing w:after="60" w:before="60"/>
            </w:pPr>
            <w:r>
              <w:rPr>
                <w:rFonts w:ascii="Arial" w:cs="Arial" w:eastAsia="Arial" w:hAnsi="Arial"/>
                <w:sz w:val="22"/>
                <w:szCs w:val="22"/>
              </w:rPr>
              <w:t xml:space="preserve">Printed Name: ______________________</w:t>
            </w:r>
          </w:p>
        </w:tc>
        <w:tc>
          <w:tcPr>
            <w:tcW w:type="dxa" w:w="4800"/>
            <w:tcBorders>
              <w:top w:val="none"/>
              <w:left w:val="none"/>
              <w:bottom w:val="none"/>
              <w:right w:val="none"/>
            </w:tcBorders>
            <w:tcMar>
              <w:top w:type="dxa" w:w="0"/>
              <w:left w:type="dxa" w:w="240"/>
              <w:bottom w:type="dxa" w:w="0"/>
              <w:right w:type="dxa" w:w="0"/>
            </w:tcMar>
          </w:tcPr>
          <w:p>
            <w:pPr>
              <w:pBdr>
                <w:bottom w:val="single" w:color="999999" w:sz="2" w:space="2"/>
              </w:pBdr>
              <w:spacing w:after="60" w:before="200"/>
            </w:pP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Secretary, Signature</w:t>
            </w:r>
          </w:p>
          <w:p>
            <w:pPr>
              <w:spacing w:after="60" w:before="60"/>
            </w:pPr>
            <w:r>
              <w:rPr>
                <w:rFonts w:ascii="Arial" w:cs="Arial" w:eastAsia="Arial" w:hAnsi="Arial"/>
                <w:sz w:val="22"/>
                <w:szCs w:val="22"/>
              </w:rPr>
              <w:t xml:space="preserve">Printed Name: ______________________</w:t>
            </w:r>
          </w:p>
        </w:tc>
      </w:tr>
    </w:tbl>
    <w:p>
      <w:pPr>
        <w:pBdr>
          <w:bottom w:val="single" w:color="B8960C" w:sz="2" w:space="1"/>
        </w:pBdr>
        <w:spacing w:after="200" w:before="200"/>
      </w:pPr>
      <w:r>
        <w:t xml:space="preserve"/>
      </w:r>
    </w:p>
    <w:p>
      <w:pPr>
        <w:spacing w:after="160" w:before="300"/>
        <w:jc w:val="center"/>
      </w:pPr>
      <w:r>
        <w:rPr>
          <w:rFonts w:ascii="Arial" w:cs="Arial" w:eastAsia="Arial" w:hAnsi="Arial"/>
          <w:b/>
          <w:bCs/>
          <w:caps/>
          <w:color w:val="1B3A6B"/>
          <w:sz w:val="28"/>
          <w:szCs w:val="28"/>
        </w:rPr>
        <w:t xml:space="preserve">STAFF / DIRECTOR ACKNOWLEDGMENT OF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before="60"/>
            </w:pPr>
            <w:r>
              <w:rPr>
                <w:rFonts w:ascii="Arial" w:cs="Arial" w:eastAsia="Arial" w:hAnsi="Arial"/>
                <w:sz w:val="21"/>
                <w:szCs w:val="21"/>
              </w:rPr>
              <w:t xml:space="preserve">Complete this section and return the signed page to the Corporate Secretary.</w:t>
            </w:r>
          </w:p>
          <w:p>
            <w:pPr>
              <w:spacing w:after="60" w:before="60"/>
            </w:pPr>
            <w:r>
              <w:rPr>
                <w:rFonts w:ascii="Arial" w:cs="Arial" w:eastAsia="Arial" w:hAnsi="Arial"/>
                <w:sz w:val="21"/>
                <w:szCs w:val="21"/>
              </w:rPr>
              <w:t xml:space="preserve">Retain the remainder of the Policy for your reference.</w:t>
            </w:r>
          </w:p>
        </w:tc>
      </w:tr>
    </w:tbl>
    <w:p>
      <w:pPr>
        <w:spacing w:after="80" w:before="80"/>
      </w:pPr>
      <w:r>
        <w:t xml:space="preserve"/>
      </w:r>
    </w:p>
    <w:p>
      <w:pPr>
        <w:spacing w:after="80" w:before="80"/>
      </w:pPr>
      <w:r>
        <w:rPr>
          <w:rFonts w:ascii="Arial" w:cs="Arial" w:eastAsia="Arial" w:hAnsi="Arial"/>
          <w:sz w:val="22"/>
          <w:szCs w:val="22"/>
        </w:rPr>
        <w:t xml:space="preserve">I hereby acknowledge that I have received, read, and understand the Whistleblower Protection Policy and the Document Retention and Destruction Policy of God's Name We Serve Humanity, Inc. I agree to comply with both Policies in the performance of my responsibilities to the Corporation.</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tcMar>
              <w:top w:type="dxa" w:w="60"/>
              <w:left w:type="dxa" w:w="0"/>
              <w:bottom w:type="dxa" w:w="60"/>
              <w:right w:type="dxa" w:w="120"/>
            </w:tcMar>
          </w:tcPr>
          <w:p>
            <w:r>
              <w:rPr>
                <w:rFonts w:ascii="Arial" w:cs="Arial" w:eastAsia="Arial" w:hAnsi="Arial"/>
                <w:b/>
                <w:bCs/>
                <w:color w:val="1B3A6B"/>
                <w:sz w:val="22"/>
                <w:szCs w:val="22"/>
              </w:rPr>
              <w:t xml:space="preserve">Full Name (Print):</w:t>
            </w:r>
          </w:p>
        </w:tc>
        <w:tc>
          <w:tcPr>
            <w:tcW w:type="dxa" w:w="6560"/>
            <w:tcBorders>
              <w:top w:val="none"/>
              <w:left w:val="none"/>
              <w:bottom w:val="single" w:color="999999" w:sz="2" w:space="2"/>
              <w:right w:val="none"/>
            </w:tcBorders>
            <w:tcMar>
              <w:top w:type="dxa" w:w="60"/>
              <w:left w:type="dxa" w:w="0"/>
              <w:bottom w:type="dxa" w:w="60"/>
              <w:right w:type="dxa" w:w="0"/>
            </w:tcMar>
          </w:tcPr>
          <w:p>
            <w:r>
              <w:rPr>
                <w:rFonts w:ascii="Arial" w:cs="Arial" w:eastAsia="Arial" w:hAnsi="Arial"/>
                <w:sz w:val="22"/>
                <w:szCs w:val="22"/>
              </w:rPr>
              <w:t xml:space="preserve"> </w:t>
            </w:r>
          </w:p>
        </w:tc>
      </w:tr>
      <w:tr>
        <w:tc>
          <w:tcPr>
            <w:tcW w:type="dxa" w:w="2800"/>
            <w:tcBorders>
              <w:top w:val="none"/>
              <w:left w:val="none"/>
              <w:bottom w:val="none"/>
              <w:right w:val="none"/>
            </w:tcBorders>
            <w:tcMar>
              <w:top w:type="dxa" w:w="60"/>
              <w:left w:type="dxa" w:w="0"/>
              <w:bottom w:type="dxa" w:w="60"/>
              <w:right w:type="dxa" w:w="120"/>
            </w:tcMar>
          </w:tcPr>
          <w:p>
            <w:r>
              <w:rPr>
                <w:rFonts w:ascii="Arial" w:cs="Arial" w:eastAsia="Arial" w:hAnsi="Arial"/>
                <w:b/>
                <w:bCs/>
                <w:color w:val="1B3A6B"/>
                <w:sz w:val="22"/>
                <w:szCs w:val="22"/>
              </w:rPr>
              <w:t xml:space="preserve">Title / Role:</w:t>
            </w:r>
          </w:p>
        </w:tc>
        <w:tc>
          <w:tcPr>
            <w:tcW w:type="dxa" w:w="6560"/>
            <w:tcBorders>
              <w:top w:val="none"/>
              <w:left w:val="none"/>
              <w:bottom w:val="single" w:color="999999" w:sz="2" w:space="2"/>
              <w:right w:val="none"/>
            </w:tcBorders>
            <w:tcMar>
              <w:top w:type="dxa" w:w="60"/>
              <w:left w:type="dxa" w:w="0"/>
              <w:bottom w:type="dxa" w:w="60"/>
              <w:right w:type="dxa" w:w="0"/>
            </w:tcMar>
          </w:tcPr>
          <w:p>
            <w:r>
              <w:rPr>
                <w:rFonts w:ascii="Arial" w:cs="Arial" w:eastAsia="Arial" w:hAnsi="Arial"/>
                <w:sz w:val="22"/>
                <w:szCs w:val="22"/>
              </w:rPr>
              <w:t xml:space="preserve"> </w:t>
            </w:r>
          </w:p>
        </w:tc>
      </w:tr>
      <w:tr>
        <w:tc>
          <w:tcPr>
            <w:tcW w:type="dxa" w:w="2800"/>
            <w:tcBorders>
              <w:top w:val="none"/>
              <w:left w:val="none"/>
              <w:bottom w:val="none"/>
              <w:right w:val="none"/>
            </w:tcBorders>
            <w:tcMar>
              <w:top w:type="dxa" w:w="60"/>
              <w:left w:type="dxa" w:w="0"/>
              <w:bottom w:type="dxa" w:w="60"/>
              <w:right w:type="dxa" w:w="120"/>
            </w:tcMar>
          </w:tcPr>
          <w:p>
            <w:r>
              <w:rPr>
                <w:rFonts w:ascii="Arial" w:cs="Arial" w:eastAsia="Arial" w:hAnsi="Arial"/>
                <w:b/>
                <w:bCs/>
                <w:color w:val="1B3A6B"/>
                <w:sz w:val="22"/>
                <w:szCs w:val="22"/>
              </w:rPr>
              <w:t xml:space="preserve">Signature:</w:t>
            </w:r>
          </w:p>
        </w:tc>
        <w:tc>
          <w:tcPr>
            <w:tcW w:type="dxa" w:w="6560"/>
            <w:tcBorders>
              <w:top w:val="none"/>
              <w:left w:val="none"/>
              <w:bottom w:val="single" w:color="999999" w:sz="2" w:space="2"/>
              <w:right w:val="none"/>
            </w:tcBorders>
            <w:tcMar>
              <w:top w:type="dxa" w:w="60"/>
              <w:left w:type="dxa" w:w="0"/>
              <w:bottom w:type="dxa" w:w="60"/>
              <w:right w:type="dxa" w:w="0"/>
            </w:tcMar>
          </w:tcPr>
          <w:p>
            <w:r>
              <w:rPr>
                <w:rFonts w:ascii="Arial" w:cs="Arial" w:eastAsia="Arial" w:hAnsi="Arial"/>
                <w:sz w:val="22"/>
                <w:szCs w:val="22"/>
              </w:rPr>
              <w:t xml:space="preserve"> </w:t>
            </w:r>
          </w:p>
        </w:tc>
      </w:tr>
      <w:tr>
        <w:tc>
          <w:tcPr>
            <w:tcW w:type="dxa" w:w="2800"/>
            <w:tcBorders>
              <w:top w:val="none"/>
              <w:left w:val="none"/>
              <w:bottom w:val="none"/>
              <w:right w:val="none"/>
            </w:tcBorders>
            <w:tcMar>
              <w:top w:type="dxa" w:w="60"/>
              <w:left w:type="dxa" w:w="0"/>
              <w:bottom w:type="dxa" w:w="60"/>
              <w:right w:type="dxa" w:w="120"/>
            </w:tcMar>
          </w:tcPr>
          <w:p>
            <w:r>
              <w:rPr>
                <w:rFonts w:ascii="Arial" w:cs="Arial" w:eastAsia="Arial" w:hAnsi="Arial"/>
                <w:b/>
                <w:bCs/>
                <w:color w:val="1B3A6B"/>
                <w:sz w:val="22"/>
                <w:szCs w:val="22"/>
              </w:rPr>
              <w:t xml:space="preserve">Date Signed:</w:t>
            </w:r>
          </w:p>
        </w:tc>
        <w:tc>
          <w:tcPr>
            <w:tcW w:type="dxa" w:w="6560"/>
            <w:tcBorders>
              <w:top w:val="none"/>
              <w:left w:val="none"/>
              <w:bottom w:val="single" w:color="999999" w:sz="2" w:space="2"/>
              <w:right w:val="none"/>
            </w:tcBorders>
            <w:tcMar>
              <w:top w:type="dxa" w:w="60"/>
              <w:left w:type="dxa" w:w="0"/>
              <w:bottom w:type="dxa" w:w="60"/>
              <w:right w:type="dxa" w:w="0"/>
            </w:tcMar>
          </w:tcPr>
          <w:p>
            <w:r>
              <w:rPr>
                <w:rFonts w:ascii="Arial" w:cs="Arial" w:eastAsia="Arial" w:hAnsi="Arial"/>
                <w:sz w:val="22"/>
                <w:szCs w:val="22"/>
              </w:rPr>
              <w:t xml:space="preserve"> </w:t>
            </w:r>
          </w:p>
        </w:tc>
      </w:tr>
    </w:tbl>
    <w:p>
      <w:pPr>
        <w:spacing w:after="80" w:before="80"/>
      </w:pPr>
      <w:r>
        <w:t xml:space="preserve"/>
      </w:r>
    </w:p>
    <w:p>
      <w:pPr>
        <w:spacing w:after="80" w:before="80"/>
      </w:pPr>
      <w:r>
        <w:t xml:space="preserve"/>
      </w:r>
    </w:p>
    <w:p>
      <w:pPr>
        <w:spacing w:after="80" w:before="80"/>
      </w:pPr>
      <w:r>
        <w:rPr>
          <w:rFonts w:ascii="Arial" w:cs="Arial" w:eastAsia="Arial" w:hAnsi="Arial"/>
          <w:b/>
          <w:bCs/>
          <w:color w:val="1B3A6B"/>
          <w:sz w:val="22"/>
          <w:szCs w:val="22"/>
        </w:rPr>
        <w:t xml:space="preserve">God's Name We Serve Humanity, Inc.  |  EIN: 93-4643102  |  SOSID: 2665552</w:t>
      </w:r>
    </w:p>
    <w:p>
      <w:pPr>
        <w:spacing w:after="80" w:before="80"/>
      </w:pPr>
      <w:r>
        <w:rPr>
          <w:rFonts w:ascii="Arial" w:cs="Arial" w:eastAsia="Arial" w:hAnsi="Arial"/>
          <w:color w:val="1B3A6B"/>
          <w:sz w:val="22"/>
          <w:szCs w:val="22"/>
        </w:rPr>
        <w:t xml:space="preserve">Whistleblower &amp; Document Retention Policies  |  IRS 990 Compliant  |  Adopted June 2026</w:t>
      </w:r>
    </w:p>
    <w:p>
      <w:pPr>
        <w:spacing w:after="80" w:before="80"/>
      </w:pPr>
      <w:r>
        <w:rPr>
          <w:rFonts w:ascii="Arial" w:cs="Arial" w:eastAsia="Arial" w:hAnsi="Arial"/>
          <w:i/>
          <w:iCs/>
          <w:color w:val="666666"/>
          <w:sz w:val="22"/>
          <w:szCs w:val="22"/>
        </w:rPr>
        <w:t xml:space="preserve">Retain signed acknowledgments for 7 years per Document Retention Schedule.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2" w:space="4"/>
      </w:pBdr>
      <w:tabs>
        <w:tab w:val="right" w:pos="9360"/>
      </w:tabs>
      <w:spacing w:before="80"/>
    </w:pPr>
    <w:r>
      <w:rPr>
        <w:rFonts w:ascii="Arial" w:cs="Arial" w:eastAsia="Arial" w:hAnsi="Arial"/>
        <w:color w:val="666666"/>
        <w:sz w:val="18"/>
        <w:szCs w:val="18"/>
      </w:rPr>
      <w:t xml:space="preserve">GNWSH Whistleblower &amp; Document Retention Policies — June 2026  |  IRS 990 Compliant</w:t>
    </w:r>
    <w:r>
      <w:rPr>
        <w:rFonts w:ascii="Arial" w:cs="Arial" w:eastAsia="Arial" w:hAnsi="Arial"/>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20"/>
    </w:pPr>
    <w:r>
      <w:rPr>
        <w:rFonts w:ascii="Arial" w:cs="Arial" w:eastAsia="Arial" w:hAnsi="Arial"/>
        <w:b/>
        <w:bCs/>
        <w:color w:val="1B3A6B"/>
        <w:sz w:val="19"/>
        <w:szCs w:val="19"/>
      </w:rPr>
      <w:t xml:space="preserve">GOD'S NAME WE SERVE HUMANITY, INC.  |  WHISTLEBLOWER &amp; DOCUMENT RETENTION POLICIES  |  EIN: 93-4643102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B3A6B"/>
      <w:sz w:val="28"/>
      <w:szCs w:val="28"/>
    </w:rPr>
  </w:style>
  <w:style w:type="paragraph" w:styleId="Heading2">
    <w:name w:val="Heading 2"/>
    <w:basedOn w:val="Normal"/>
    <w:next w:val="Normal"/>
    <w:pPr>
      <w:spacing w:after="100" w:before="24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2026-06-16T19:47:08.557Z</dcterms:created>
  <dcterms:modified xsi:type="dcterms:W3CDTF">2026-06-16T19:47:08.557Z</dcterms:modified>
</cp:coreProperties>
</file>

<file path=docProps/custom.xml><?xml version="1.0" encoding="utf-8"?>
<Properties xmlns="http://schemas.openxmlformats.org/officeDocument/2006/custom-properties" xmlns:vt="http://schemas.openxmlformats.org/officeDocument/2006/docPropsVTypes"/>
</file>